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525" w:leftChars="250"/>
        <w:jc w:val="center"/>
        <w:rPr>
          <w:rFonts w:ascii="黑体" w:hAnsi="黑体" w:eastAsia="黑体"/>
          <w:b/>
          <w:sz w:val="32"/>
          <w:szCs w:val="32"/>
        </w:rPr>
      </w:pPr>
      <w:r>
        <w:rPr>
          <w:rFonts w:hint="eastAsia" w:ascii="黑体" w:hAnsi="黑体" w:eastAsia="黑体"/>
          <w:b/>
          <w:sz w:val="32"/>
          <w:szCs w:val="32"/>
        </w:rPr>
        <w:t>上海应用技术大学本科专业评估专家用表</w:t>
      </w:r>
    </w:p>
    <w:p>
      <w:pPr>
        <w:spacing w:line="500" w:lineRule="exact"/>
        <w:ind w:left="525" w:leftChars="250"/>
        <w:rPr>
          <w:rFonts w:ascii="仿宋" w:hAnsi="仿宋" w:eastAsia="仿宋"/>
          <w:sz w:val="28"/>
          <w:szCs w:val="28"/>
        </w:rPr>
      </w:pPr>
    </w:p>
    <w:p>
      <w:pPr>
        <w:spacing w:line="500" w:lineRule="exact"/>
        <w:ind w:left="525" w:leftChars="250"/>
        <w:rPr>
          <w:rFonts w:ascii="仿宋" w:hAnsi="仿宋" w:eastAsia="仿宋"/>
          <w:sz w:val="28"/>
          <w:szCs w:val="28"/>
        </w:rPr>
      </w:pPr>
    </w:p>
    <w:p>
      <w:pPr>
        <w:spacing w:line="500" w:lineRule="exact"/>
        <w:ind w:left="617" w:leftChars="294" w:firstLine="19" w:firstLineChars="7"/>
        <w:rPr>
          <w:rFonts w:ascii="仿宋" w:hAnsi="仿宋" w:eastAsia="仿宋"/>
          <w:sz w:val="28"/>
          <w:szCs w:val="28"/>
        </w:rPr>
      </w:pPr>
      <w:r>
        <w:rPr>
          <w:rFonts w:hint="eastAsia" w:ascii="仿宋" w:hAnsi="仿宋" w:eastAsia="仿宋"/>
          <w:sz w:val="28"/>
          <w:szCs w:val="28"/>
        </w:rPr>
        <w:t>表</w:t>
      </w:r>
      <w:r>
        <w:rPr>
          <w:rFonts w:ascii="仿宋" w:hAnsi="仿宋" w:eastAsia="仿宋"/>
          <w:sz w:val="28"/>
          <w:szCs w:val="28"/>
        </w:rPr>
        <w:t>1：</w:t>
      </w:r>
      <w:r>
        <w:rPr>
          <w:rFonts w:hint="eastAsia" w:ascii="仿宋" w:hAnsi="仿宋" w:eastAsia="仿宋"/>
          <w:sz w:val="28"/>
          <w:szCs w:val="28"/>
        </w:rPr>
        <w:t>上海应用技术大学本科专业评估指标体系</w:t>
      </w:r>
    </w:p>
    <w:p>
      <w:pPr>
        <w:spacing w:line="500" w:lineRule="exact"/>
        <w:ind w:left="617" w:leftChars="294" w:firstLine="19" w:firstLineChars="7"/>
        <w:rPr>
          <w:rFonts w:ascii="仿宋" w:hAnsi="仿宋" w:eastAsia="仿宋"/>
          <w:sz w:val="28"/>
          <w:szCs w:val="28"/>
        </w:rPr>
      </w:pPr>
      <w:r>
        <w:rPr>
          <w:rFonts w:hint="eastAsia" w:ascii="仿宋" w:hAnsi="仿宋" w:eastAsia="仿宋"/>
          <w:sz w:val="28"/>
          <w:szCs w:val="28"/>
        </w:rPr>
        <w:t>表2：专家访谈、考查等记录表（样表）</w:t>
      </w:r>
    </w:p>
    <w:p>
      <w:pPr>
        <w:spacing w:line="500" w:lineRule="exact"/>
        <w:ind w:left="617" w:leftChars="294" w:firstLine="19" w:firstLineChars="7"/>
        <w:rPr>
          <w:rFonts w:ascii="仿宋" w:hAnsi="仿宋" w:eastAsia="仿宋"/>
          <w:sz w:val="28"/>
          <w:szCs w:val="28"/>
        </w:rPr>
      </w:pPr>
      <w:r>
        <w:rPr>
          <w:rFonts w:hint="eastAsia" w:ascii="仿宋" w:hAnsi="仿宋" w:eastAsia="仿宋"/>
          <w:sz w:val="28"/>
          <w:szCs w:val="28"/>
        </w:rPr>
        <w:t>表3：听课看课情况记录表（样表）</w:t>
      </w:r>
    </w:p>
    <w:p>
      <w:pPr>
        <w:spacing w:line="500" w:lineRule="exact"/>
        <w:ind w:left="617" w:leftChars="294" w:firstLine="19" w:firstLineChars="7"/>
        <w:rPr>
          <w:rFonts w:ascii="仿宋" w:hAnsi="仿宋" w:eastAsia="仿宋"/>
          <w:sz w:val="28"/>
          <w:szCs w:val="28"/>
        </w:rPr>
      </w:pPr>
      <w:r>
        <w:rPr>
          <w:rFonts w:hint="eastAsia" w:ascii="仿宋" w:hAnsi="仿宋" w:eastAsia="仿宋"/>
          <w:sz w:val="28"/>
          <w:szCs w:val="28"/>
        </w:rPr>
        <w:t>表4：毕业论文（设计）抽查表（样表）</w:t>
      </w:r>
    </w:p>
    <w:p>
      <w:pPr>
        <w:spacing w:line="500" w:lineRule="exact"/>
        <w:ind w:left="617" w:leftChars="294" w:firstLine="19" w:firstLineChars="7"/>
        <w:rPr>
          <w:rFonts w:hint="eastAsia" w:ascii="仿宋" w:hAnsi="仿宋" w:eastAsia="仿宋"/>
          <w:color w:val="auto"/>
          <w:sz w:val="28"/>
          <w:szCs w:val="28"/>
        </w:rPr>
      </w:pPr>
      <w:r>
        <w:rPr>
          <w:rFonts w:hint="eastAsia" w:ascii="仿宋" w:hAnsi="仿宋" w:eastAsia="仿宋"/>
          <w:color w:val="auto"/>
          <w:sz w:val="28"/>
          <w:szCs w:val="28"/>
        </w:rPr>
        <w:t>表5：试卷检查评价表（样表）</w:t>
      </w:r>
    </w:p>
    <w:p>
      <w:pPr>
        <w:spacing w:line="500" w:lineRule="exact"/>
        <w:ind w:left="617" w:leftChars="294" w:firstLine="19" w:firstLineChars="7"/>
        <w:rPr>
          <w:rFonts w:hint="eastAsia" w:ascii="仿宋" w:hAnsi="仿宋" w:eastAsia="仿宋"/>
          <w:color w:val="auto"/>
          <w:sz w:val="28"/>
          <w:szCs w:val="28"/>
        </w:rPr>
      </w:pPr>
      <w:r>
        <w:rPr>
          <w:rFonts w:hint="eastAsia" w:ascii="仿宋" w:hAnsi="仿宋" w:eastAsia="仿宋"/>
          <w:color w:val="auto"/>
          <w:sz w:val="28"/>
          <w:szCs w:val="28"/>
          <w:lang w:val="en-US" w:eastAsia="zh-CN"/>
        </w:rPr>
        <w:t>表6：</w:t>
      </w:r>
      <w:r>
        <w:rPr>
          <w:rFonts w:hint="eastAsia" w:ascii="仿宋" w:hAnsi="仿宋" w:eastAsia="仿宋"/>
          <w:color w:val="auto"/>
          <w:sz w:val="28"/>
          <w:szCs w:val="28"/>
        </w:rPr>
        <w:t>实验、实习实训报告检查评价表</w:t>
      </w:r>
      <w:r>
        <w:rPr>
          <w:rFonts w:hint="eastAsia" w:ascii="仿宋" w:hAnsi="仿宋" w:eastAsia="仿宋"/>
          <w:color w:val="auto"/>
          <w:sz w:val="28"/>
          <w:szCs w:val="28"/>
        </w:rPr>
        <w:t>（样表）</w:t>
      </w:r>
    </w:p>
    <w:p>
      <w:pPr>
        <w:spacing w:line="500" w:lineRule="exact"/>
        <w:ind w:left="617" w:leftChars="294" w:firstLine="19" w:firstLineChars="7"/>
        <w:rPr>
          <w:rFonts w:ascii="仿宋" w:hAnsi="仿宋" w:eastAsia="仿宋"/>
          <w:color w:val="auto"/>
          <w:sz w:val="28"/>
          <w:szCs w:val="28"/>
        </w:rPr>
      </w:pPr>
      <w:r>
        <w:rPr>
          <w:rFonts w:hint="eastAsia" w:ascii="仿宋" w:hAnsi="仿宋" w:eastAsia="仿宋"/>
          <w:color w:val="auto"/>
          <w:sz w:val="28"/>
          <w:szCs w:val="28"/>
        </w:rPr>
        <w:t>表</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：现场考察意见表（样表）</w:t>
      </w: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bookmarkStart w:id="0" w:name="_GoBack"/>
      <w:bookmarkEnd w:id="0"/>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sectPr>
          <w:headerReference r:id="rId5" w:type="first"/>
          <w:headerReference r:id="rId3" w:type="default"/>
          <w:footerReference r:id="rId6" w:type="default"/>
          <w:headerReference r:id="rId4" w:type="even"/>
          <w:pgSz w:w="11906" w:h="16838"/>
          <w:pgMar w:top="1531" w:right="1474" w:bottom="1418" w:left="1474" w:header="851" w:footer="992" w:gutter="0"/>
          <w:cols w:space="425" w:num="1"/>
          <w:docGrid w:type="linesAndChars" w:linePitch="312" w:charSpace="0"/>
        </w:sectPr>
      </w:pPr>
    </w:p>
    <w:p>
      <w:pPr>
        <w:snapToGrid w:val="0"/>
        <w:spacing w:line="500" w:lineRule="exact"/>
        <w:jc w:val="center"/>
        <w:rPr>
          <w:rFonts w:ascii="方正小标宋简体" w:hAnsi="宋体" w:eastAsia="方正小标宋简体" w:cs="方正小标宋简体"/>
          <w:color w:val="000000"/>
          <w:kern w:val="0"/>
          <w:sz w:val="38"/>
          <w:szCs w:val="38"/>
        </w:rPr>
      </w:pPr>
      <w:r>
        <w:rPr>
          <w:rFonts w:hint="eastAsia" w:ascii="仿宋" w:hAnsi="仿宋" w:eastAsia="仿宋"/>
          <w:b/>
          <w:bCs/>
          <w:sz w:val="28"/>
          <w:szCs w:val="28"/>
        </w:rPr>
        <w:t>表</w:t>
      </w:r>
      <w:r>
        <w:rPr>
          <w:rFonts w:ascii="仿宋" w:hAnsi="仿宋" w:eastAsia="仿宋"/>
          <w:b/>
          <w:bCs/>
          <w:sz w:val="28"/>
          <w:szCs w:val="28"/>
        </w:rPr>
        <w:t>1：</w:t>
      </w:r>
      <w:r>
        <w:rPr>
          <w:rFonts w:hint="eastAsia"/>
          <w:b/>
          <w:bCs/>
          <w:sz w:val="28"/>
          <w:szCs w:val="28"/>
        </w:rPr>
        <w:t>上海应用技术大学本科专业评估指标体系</w:t>
      </w:r>
    </w:p>
    <w:tbl>
      <w:tblPr>
        <w:tblStyle w:val="14"/>
        <w:tblW w:w="14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447"/>
        <w:gridCol w:w="10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4" w:type="dxa"/>
            <w:vAlign w:val="center"/>
          </w:tcPr>
          <w:p>
            <w:pPr>
              <w:jc w:val="center"/>
              <w:rPr>
                <w:b/>
                <w:sz w:val="24"/>
                <w:szCs w:val="24"/>
              </w:rPr>
            </w:pPr>
            <w:r>
              <w:rPr>
                <w:rFonts w:hint="eastAsia"/>
                <w:b/>
                <w:sz w:val="24"/>
                <w:szCs w:val="24"/>
              </w:rPr>
              <w:t>一级指标</w:t>
            </w:r>
          </w:p>
        </w:tc>
        <w:tc>
          <w:tcPr>
            <w:tcW w:w="2447" w:type="dxa"/>
            <w:vAlign w:val="center"/>
          </w:tcPr>
          <w:p>
            <w:pPr>
              <w:jc w:val="center"/>
              <w:rPr>
                <w:b/>
                <w:sz w:val="24"/>
                <w:szCs w:val="24"/>
              </w:rPr>
            </w:pPr>
            <w:r>
              <w:rPr>
                <w:rFonts w:hint="eastAsia"/>
                <w:b/>
                <w:sz w:val="24"/>
                <w:szCs w:val="24"/>
              </w:rPr>
              <w:t>二级指标</w:t>
            </w:r>
          </w:p>
        </w:tc>
        <w:tc>
          <w:tcPr>
            <w:tcW w:w="10664" w:type="dxa"/>
            <w:vAlign w:val="center"/>
          </w:tcPr>
          <w:p>
            <w:pPr>
              <w:jc w:val="center"/>
              <w:rPr>
                <w:b/>
                <w:sz w:val="24"/>
                <w:szCs w:val="24"/>
              </w:rPr>
            </w:pPr>
            <w:r>
              <w:rPr>
                <w:rFonts w:hint="eastAsia"/>
                <w:b/>
                <w:sz w:val="24"/>
                <w:szCs w:val="24"/>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rPr>
                <w:sz w:val="24"/>
                <w:szCs w:val="24"/>
              </w:rPr>
            </w:pPr>
            <w:r>
              <w:rPr>
                <w:sz w:val="24"/>
                <w:szCs w:val="24"/>
              </w:rPr>
              <w:t>1.</w:t>
            </w:r>
            <w:r>
              <w:rPr>
                <w:rFonts w:hint="eastAsia"/>
                <w:sz w:val="24"/>
                <w:szCs w:val="24"/>
              </w:rPr>
              <w:t>专业办学指导思想</w:t>
            </w:r>
          </w:p>
        </w:tc>
        <w:tc>
          <w:tcPr>
            <w:tcW w:w="2447" w:type="dxa"/>
            <w:vAlign w:val="center"/>
          </w:tcPr>
          <w:p>
            <w:pPr>
              <w:rPr>
                <w:sz w:val="24"/>
                <w:szCs w:val="24"/>
              </w:rPr>
            </w:pPr>
            <w:r>
              <w:rPr>
                <w:sz w:val="24"/>
                <w:szCs w:val="24"/>
              </w:rPr>
              <w:t>1.1</w:t>
            </w:r>
            <w:r>
              <w:rPr>
                <w:rFonts w:hint="eastAsia"/>
                <w:sz w:val="24"/>
                <w:szCs w:val="24"/>
              </w:rPr>
              <w:t>专业办学方向</w:t>
            </w:r>
          </w:p>
        </w:tc>
        <w:tc>
          <w:tcPr>
            <w:tcW w:w="10664" w:type="dxa"/>
            <w:vAlign w:val="center"/>
          </w:tcPr>
          <w:p>
            <w:pPr>
              <w:rPr>
                <w:sz w:val="24"/>
                <w:szCs w:val="24"/>
              </w:rPr>
            </w:pPr>
            <w:r>
              <w:rPr>
                <w:rFonts w:hint="eastAsia"/>
                <w:sz w:val="24"/>
                <w:szCs w:val="24"/>
              </w:rPr>
              <w:t>坚持社会主义办学方向，全面贯彻党的教育方针，落实立德树人根本任务。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1.2*</w:t>
            </w:r>
            <w:r>
              <w:rPr>
                <w:rFonts w:hint="eastAsia"/>
                <w:sz w:val="24"/>
                <w:szCs w:val="24"/>
              </w:rPr>
              <w:t>专业定位与建设规划</w:t>
            </w:r>
          </w:p>
        </w:tc>
        <w:tc>
          <w:tcPr>
            <w:tcW w:w="10664" w:type="dxa"/>
            <w:vAlign w:val="center"/>
          </w:tcPr>
          <w:p>
            <w:pPr>
              <w:rPr>
                <w:sz w:val="24"/>
                <w:szCs w:val="24"/>
              </w:rPr>
            </w:pPr>
            <w:r>
              <w:rPr>
                <w:sz w:val="24"/>
                <w:szCs w:val="24"/>
              </w:rPr>
              <w:t>1.</w:t>
            </w:r>
            <w:r>
              <w:rPr>
                <w:rFonts w:hint="eastAsia"/>
                <w:sz w:val="24"/>
                <w:szCs w:val="24"/>
              </w:rPr>
              <w:t>专业定位明确、特色鲜明，培养目标和服务面向能适应国家和区域经济社会发展需求，符合学校办学定位和专业布局结构要求。</w:t>
            </w:r>
          </w:p>
          <w:p>
            <w:pPr>
              <w:rPr>
                <w:sz w:val="24"/>
                <w:szCs w:val="24"/>
              </w:rPr>
            </w:pPr>
            <w:r>
              <w:rPr>
                <w:sz w:val="24"/>
                <w:szCs w:val="24"/>
              </w:rPr>
              <w:t>2.</w:t>
            </w:r>
            <w:r>
              <w:rPr>
                <w:rFonts w:hint="eastAsia"/>
                <w:sz w:val="24"/>
                <w:szCs w:val="24"/>
              </w:rPr>
              <w:t>专业建设思路清晰，专业建设规划科学、合理，能有效指导专业建设，获显著成效。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1.3*</w:t>
            </w:r>
            <w:r>
              <w:rPr>
                <w:rFonts w:hint="eastAsia"/>
                <w:sz w:val="24"/>
                <w:szCs w:val="24"/>
              </w:rPr>
              <w:t>培养方案</w:t>
            </w:r>
          </w:p>
        </w:tc>
        <w:tc>
          <w:tcPr>
            <w:tcW w:w="10664" w:type="dxa"/>
            <w:vAlign w:val="center"/>
          </w:tcPr>
          <w:p>
            <w:pPr>
              <w:rPr>
                <w:sz w:val="24"/>
                <w:szCs w:val="24"/>
              </w:rPr>
            </w:pPr>
            <w:r>
              <w:rPr>
                <w:sz w:val="24"/>
                <w:szCs w:val="24"/>
              </w:rPr>
              <w:t>1.</w:t>
            </w:r>
            <w:r>
              <w:rPr>
                <w:rFonts w:hint="eastAsia"/>
                <w:sz w:val="24"/>
                <w:szCs w:val="24"/>
              </w:rPr>
              <w:t>培养方案完备，符合专业定位，体现学校办学特色，同时符合教育部公布的专业基本要求或教指委建议的专业规范，执行情况良好。</w:t>
            </w:r>
          </w:p>
          <w:p>
            <w:pPr>
              <w:rPr>
                <w:sz w:val="24"/>
                <w:szCs w:val="24"/>
              </w:rPr>
            </w:pPr>
            <w:r>
              <w:rPr>
                <w:sz w:val="24"/>
                <w:szCs w:val="24"/>
              </w:rPr>
              <w:t>2.</w:t>
            </w:r>
            <w:r>
              <w:rPr>
                <w:rFonts w:hint="eastAsia"/>
                <w:sz w:val="24"/>
                <w:szCs w:val="24"/>
              </w:rPr>
              <w:t>专业培养目标与学校办学定位、学科优势相契合，体现学生德、智、体、美、劳全面发展，有利于人文素质和科学素养的提高，有利于创新精神和实践能力的培养。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rPr>
                <w:sz w:val="24"/>
                <w:szCs w:val="24"/>
              </w:rPr>
            </w:pPr>
            <w:r>
              <w:rPr>
                <w:sz w:val="24"/>
                <w:szCs w:val="24"/>
              </w:rPr>
              <w:t>2.</w:t>
            </w:r>
            <w:r>
              <w:rPr>
                <w:rFonts w:hint="eastAsia"/>
                <w:sz w:val="24"/>
                <w:szCs w:val="24"/>
              </w:rPr>
              <w:t>师资队伍</w:t>
            </w:r>
          </w:p>
        </w:tc>
        <w:tc>
          <w:tcPr>
            <w:tcW w:w="2447" w:type="dxa"/>
            <w:vAlign w:val="center"/>
          </w:tcPr>
          <w:p>
            <w:pPr>
              <w:rPr>
                <w:sz w:val="24"/>
                <w:szCs w:val="24"/>
              </w:rPr>
            </w:pPr>
            <w:r>
              <w:rPr>
                <w:sz w:val="24"/>
                <w:szCs w:val="24"/>
              </w:rPr>
              <w:t>2.1*</w:t>
            </w:r>
            <w:r>
              <w:rPr>
                <w:rFonts w:hint="eastAsia"/>
                <w:sz w:val="24"/>
                <w:szCs w:val="24"/>
              </w:rPr>
              <w:t>教师数量与结构</w:t>
            </w:r>
          </w:p>
        </w:tc>
        <w:tc>
          <w:tcPr>
            <w:tcW w:w="10664" w:type="dxa"/>
            <w:vAlign w:val="center"/>
          </w:tcPr>
          <w:p>
            <w:pPr>
              <w:rPr>
                <w:sz w:val="24"/>
                <w:szCs w:val="24"/>
              </w:rPr>
            </w:pPr>
            <w:r>
              <w:rPr>
                <w:sz w:val="24"/>
                <w:szCs w:val="24"/>
              </w:rPr>
              <w:t>1.</w:t>
            </w:r>
            <w:r>
              <w:rPr>
                <w:rFonts w:hint="eastAsia"/>
                <w:sz w:val="24"/>
                <w:szCs w:val="24"/>
              </w:rPr>
              <w:t>专业负责人应具有正高职称，学术水平较高，在专业建设和人才培养中发挥重要作用。</w:t>
            </w:r>
          </w:p>
          <w:p>
            <w:pPr>
              <w:rPr>
                <w:sz w:val="24"/>
                <w:szCs w:val="24"/>
              </w:rPr>
            </w:pPr>
            <w:r>
              <w:rPr>
                <w:sz w:val="24"/>
                <w:szCs w:val="24"/>
              </w:rPr>
              <w:t>2.</w:t>
            </w:r>
            <w:r>
              <w:rPr>
                <w:rFonts w:hint="eastAsia"/>
                <w:sz w:val="24"/>
                <w:szCs w:val="24"/>
              </w:rPr>
              <w:t>有本专业背景的专任教师数量不少于</w:t>
            </w:r>
            <w:r>
              <w:rPr>
                <w:sz w:val="24"/>
                <w:szCs w:val="24"/>
              </w:rPr>
              <w:t>7</w:t>
            </w:r>
            <w:r>
              <w:rPr>
                <w:rFonts w:hint="eastAsia"/>
                <w:sz w:val="24"/>
                <w:szCs w:val="24"/>
              </w:rPr>
              <w:t>人，生师比合适；其中至少有</w:t>
            </w:r>
            <w:r>
              <w:rPr>
                <w:sz w:val="24"/>
                <w:szCs w:val="24"/>
              </w:rPr>
              <w:t>1</w:t>
            </w:r>
            <w:r>
              <w:rPr>
                <w:rFonts w:hint="eastAsia"/>
                <w:sz w:val="24"/>
                <w:szCs w:val="24"/>
              </w:rPr>
              <w:t>人具有行业经历，高级职称教师不少于</w:t>
            </w:r>
            <w:r>
              <w:rPr>
                <w:sz w:val="24"/>
                <w:szCs w:val="24"/>
              </w:rPr>
              <w:t>3</w:t>
            </w:r>
            <w:r>
              <w:rPr>
                <w:rFonts w:hint="eastAsia"/>
                <w:sz w:val="24"/>
                <w:szCs w:val="24"/>
              </w:rPr>
              <w:t>人且至少有</w:t>
            </w:r>
            <w:r>
              <w:rPr>
                <w:sz w:val="24"/>
                <w:szCs w:val="24"/>
              </w:rPr>
              <w:t>1</w:t>
            </w:r>
            <w:r>
              <w:rPr>
                <w:rFonts w:hint="eastAsia"/>
                <w:sz w:val="24"/>
                <w:szCs w:val="24"/>
              </w:rPr>
              <w:t>人具有正高职称；具有硕士及以上学位的专任教师比例不小于</w:t>
            </w:r>
            <w:r>
              <w:rPr>
                <w:sz w:val="24"/>
                <w:szCs w:val="24"/>
              </w:rPr>
              <w:t>50%</w:t>
            </w:r>
            <w:r>
              <w:rPr>
                <w:rFonts w:hint="eastAsia"/>
                <w:sz w:val="24"/>
                <w:szCs w:val="24"/>
              </w:rPr>
              <w:t>；年龄结构基本合理。</w:t>
            </w:r>
          </w:p>
          <w:p>
            <w:pPr>
              <w:rPr>
                <w:sz w:val="24"/>
                <w:szCs w:val="24"/>
              </w:rPr>
            </w:pPr>
            <w:r>
              <w:rPr>
                <w:sz w:val="24"/>
                <w:szCs w:val="24"/>
              </w:rPr>
              <w:t>3.</w:t>
            </w:r>
            <w:r>
              <w:rPr>
                <w:rFonts w:hint="eastAsia"/>
                <w:sz w:val="24"/>
                <w:szCs w:val="24"/>
              </w:rPr>
              <w:t>实践教学队伍基本满足实验实践教学要求，</w:t>
            </w:r>
            <w:r>
              <w:rPr>
                <w:sz w:val="24"/>
                <w:szCs w:val="24"/>
              </w:rPr>
              <w:t>60%</w:t>
            </w:r>
            <w:r>
              <w:rPr>
                <w:rFonts w:hint="eastAsia"/>
                <w:sz w:val="24"/>
                <w:szCs w:val="24"/>
              </w:rPr>
              <w:t>以上的实验教师具有中高级职称。</w:t>
            </w:r>
          </w:p>
          <w:p>
            <w:pPr>
              <w:rPr>
                <w:sz w:val="24"/>
                <w:szCs w:val="24"/>
              </w:rPr>
            </w:pPr>
            <w:r>
              <w:rPr>
                <w:sz w:val="24"/>
                <w:szCs w:val="24"/>
              </w:rPr>
              <w:t>4.</w:t>
            </w:r>
            <w:r>
              <w:rPr>
                <w:rFonts w:hint="eastAsia"/>
                <w:sz w:val="24"/>
                <w:szCs w:val="24"/>
              </w:rPr>
              <w:t>专业课和专业基础课的主讲教师应具有讲师职称或硕士学位，副高及以上职称的专任教师均担任专业基础课或专业课的教学任务。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2.2</w:t>
            </w:r>
            <w:r>
              <w:rPr>
                <w:rFonts w:hint="eastAsia"/>
                <w:sz w:val="24"/>
                <w:szCs w:val="24"/>
              </w:rPr>
              <w:t>教学水平</w:t>
            </w:r>
          </w:p>
        </w:tc>
        <w:tc>
          <w:tcPr>
            <w:tcW w:w="10664" w:type="dxa"/>
            <w:vAlign w:val="center"/>
          </w:tcPr>
          <w:p>
            <w:pPr>
              <w:rPr>
                <w:sz w:val="24"/>
                <w:szCs w:val="24"/>
              </w:rPr>
            </w:pPr>
            <w:r>
              <w:rPr>
                <w:rFonts w:hint="eastAsia"/>
                <w:sz w:val="24"/>
                <w:szCs w:val="24"/>
              </w:rPr>
              <w:t>理论与实践教学的教学质量较好，学生、督导评教在良好以上，并不低于学校评教平均成绩；教学过程规范，教学质量有保证。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2.3*</w:t>
            </w:r>
            <w:r>
              <w:rPr>
                <w:rFonts w:hint="eastAsia"/>
                <w:sz w:val="24"/>
                <w:szCs w:val="24"/>
              </w:rPr>
              <w:t>教师风范</w:t>
            </w:r>
          </w:p>
        </w:tc>
        <w:tc>
          <w:tcPr>
            <w:tcW w:w="10664" w:type="dxa"/>
            <w:vAlign w:val="center"/>
          </w:tcPr>
          <w:p>
            <w:pPr>
              <w:rPr>
                <w:sz w:val="24"/>
                <w:szCs w:val="24"/>
              </w:rPr>
            </w:pPr>
            <w:r>
              <w:rPr>
                <w:sz w:val="24"/>
                <w:szCs w:val="24"/>
              </w:rPr>
              <w:t>1.</w:t>
            </w:r>
            <w:r>
              <w:rPr>
                <w:rFonts w:hint="eastAsia"/>
                <w:sz w:val="24"/>
                <w:szCs w:val="24"/>
              </w:rPr>
              <w:t>教师遵守师德规范，为人师表、教书育人较好。</w:t>
            </w:r>
          </w:p>
          <w:p>
            <w:pPr>
              <w:rPr>
                <w:sz w:val="24"/>
                <w:szCs w:val="24"/>
              </w:rPr>
            </w:pPr>
            <w:r>
              <w:rPr>
                <w:sz w:val="24"/>
                <w:szCs w:val="24"/>
              </w:rPr>
              <w:t>2.</w:t>
            </w:r>
            <w:r>
              <w:rPr>
                <w:rFonts w:hint="eastAsia"/>
                <w:sz w:val="24"/>
                <w:szCs w:val="24"/>
              </w:rPr>
              <w:t>对教学工作认真负责，严谨治学，从严执教。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2.4</w:t>
            </w:r>
            <w:r>
              <w:rPr>
                <w:rFonts w:hint="eastAsia"/>
                <w:sz w:val="24"/>
                <w:szCs w:val="24"/>
              </w:rPr>
              <w:t>科学研究</w:t>
            </w:r>
          </w:p>
        </w:tc>
        <w:tc>
          <w:tcPr>
            <w:tcW w:w="10664" w:type="dxa"/>
            <w:vAlign w:val="center"/>
          </w:tcPr>
          <w:p>
            <w:pPr>
              <w:rPr>
                <w:sz w:val="24"/>
                <w:szCs w:val="24"/>
              </w:rPr>
            </w:pPr>
            <w:r>
              <w:rPr>
                <w:sz w:val="24"/>
                <w:szCs w:val="24"/>
              </w:rPr>
              <w:t>1.</w:t>
            </w:r>
            <w:r>
              <w:rPr>
                <w:rFonts w:hint="eastAsia"/>
                <w:sz w:val="24"/>
                <w:szCs w:val="24"/>
              </w:rPr>
              <w:t>近3年，至少有</w:t>
            </w:r>
            <w:r>
              <w:rPr>
                <w:sz w:val="24"/>
                <w:szCs w:val="24"/>
              </w:rPr>
              <w:t>60%</w:t>
            </w:r>
            <w:r>
              <w:rPr>
                <w:rFonts w:hint="eastAsia"/>
                <w:sz w:val="24"/>
                <w:szCs w:val="24"/>
              </w:rPr>
              <w:t>的教师参与校级以上与专业相关的科学研究并有正式发表科研论文。</w:t>
            </w:r>
          </w:p>
          <w:p>
            <w:pPr>
              <w:rPr>
                <w:sz w:val="24"/>
                <w:szCs w:val="24"/>
              </w:rPr>
            </w:pPr>
            <w:r>
              <w:rPr>
                <w:sz w:val="24"/>
                <w:szCs w:val="24"/>
              </w:rPr>
              <w:t>2.</w:t>
            </w:r>
            <w:r>
              <w:rPr>
                <w:rFonts w:hint="eastAsia"/>
                <w:sz w:val="24"/>
                <w:szCs w:val="24"/>
              </w:rPr>
              <w:t>教师队伍应具有较强的教研与科研能力，有一定数量与较高层次的科研项目，能够将科研与教学相结合，积极参与教学改革，取得一定的研究成果。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2.5</w:t>
            </w:r>
            <w:r>
              <w:rPr>
                <w:rFonts w:hint="eastAsia"/>
                <w:sz w:val="24"/>
                <w:szCs w:val="24"/>
              </w:rPr>
              <w:t>教师发展</w:t>
            </w:r>
          </w:p>
        </w:tc>
        <w:tc>
          <w:tcPr>
            <w:tcW w:w="10664" w:type="dxa"/>
            <w:vAlign w:val="center"/>
          </w:tcPr>
          <w:p>
            <w:pPr>
              <w:rPr>
                <w:sz w:val="24"/>
                <w:szCs w:val="24"/>
              </w:rPr>
            </w:pPr>
            <w:r>
              <w:rPr>
                <w:rFonts w:hint="eastAsia"/>
                <w:sz w:val="24"/>
                <w:szCs w:val="24"/>
              </w:rPr>
              <w:t>专业师资建设有目标、有措施、有实效；重视青年教师培养，有提高教师教学水平的规划与措施。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rPr>
                <w:sz w:val="24"/>
                <w:szCs w:val="24"/>
              </w:rPr>
            </w:pPr>
            <w:r>
              <w:rPr>
                <w:sz w:val="24"/>
                <w:szCs w:val="24"/>
              </w:rPr>
              <w:t>3.</w:t>
            </w:r>
            <w:r>
              <w:rPr>
                <w:rFonts w:hint="eastAsia"/>
                <w:sz w:val="24"/>
                <w:szCs w:val="24"/>
              </w:rPr>
              <w:t>教学过程</w:t>
            </w:r>
          </w:p>
        </w:tc>
        <w:tc>
          <w:tcPr>
            <w:tcW w:w="2447" w:type="dxa"/>
            <w:vAlign w:val="center"/>
          </w:tcPr>
          <w:p>
            <w:pPr>
              <w:rPr>
                <w:sz w:val="24"/>
                <w:szCs w:val="24"/>
              </w:rPr>
            </w:pPr>
            <w:r>
              <w:rPr>
                <w:sz w:val="24"/>
                <w:szCs w:val="24"/>
              </w:rPr>
              <w:t>3.1*</w:t>
            </w:r>
            <w:r>
              <w:rPr>
                <w:rFonts w:hint="eastAsia"/>
                <w:sz w:val="24"/>
                <w:szCs w:val="24"/>
              </w:rPr>
              <w:t>课程</w:t>
            </w:r>
          </w:p>
        </w:tc>
        <w:tc>
          <w:tcPr>
            <w:tcW w:w="10664" w:type="dxa"/>
            <w:vAlign w:val="center"/>
          </w:tcPr>
          <w:p>
            <w:pPr>
              <w:rPr>
                <w:sz w:val="24"/>
                <w:szCs w:val="24"/>
              </w:rPr>
            </w:pPr>
            <w:r>
              <w:rPr>
                <w:sz w:val="24"/>
                <w:szCs w:val="24"/>
              </w:rPr>
              <w:t>1.</w:t>
            </w:r>
            <w:r>
              <w:rPr>
                <w:rFonts w:hint="eastAsia"/>
                <w:sz w:val="24"/>
                <w:szCs w:val="24"/>
              </w:rPr>
              <w:t>课程体系设置合理，能够有力地支撑毕业要求的达成。</w:t>
            </w:r>
          </w:p>
          <w:p>
            <w:pPr>
              <w:rPr>
                <w:sz w:val="24"/>
                <w:szCs w:val="24"/>
              </w:rPr>
            </w:pPr>
            <w:r>
              <w:rPr>
                <w:sz w:val="24"/>
                <w:szCs w:val="24"/>
              </w:rPr>
              <w:t>2.</w:t>
            </w:r>
            <w:r>
              <w:rPr>
                <w:rFonts w:hint="eastAsia"/>
                <w:sz w:val="24"/>
                <w:szCs w:val="24"/>
              </w:rPr>
              <w:t>各类课程学分（学时）比例恰当，人文社科类专业实践教学占总学分（学时）不低于</w:t>
            </w:r>
            <w:r>
              <w:rPr>
                <w:sz w:val="24"/>
                <w:szCs w:val="24"/>
              </w:rPr>
              <w:t>20%</w:t>
            </w:r>
            <w:r>
              <w:rPr>
                <w:rFonts w:hint="eastAsia"/>
                <w:sz w:val="24"/>
                <w:szCs w:val="24"/>
              </w:rPr>
              <w:t>，理工农医类专业实践教学占总学分（学时）不低于</w:t>
            </w:r>
            <w:r>
              <w:rPr>
                <w:sz w:val="24"/>
                <w:szCs w:val="24"/>
              </w:rPr>
              <w:t>25%</w:t>
            </w:r>
            <w:r>
              <w:rPr>
                <w:rFonts w:hint="eastAsia"/>
                <w:sz w:val="24"/>
                <w:szCs w:val="24"/>
              </w:rPr>
              <w:t>。有工程教育认证的专业还需满足专业认证的要求。</w:t>
            </w:r>
          </w:p>
          <w:p>
            <w:pPr>
              <w:rPr>
                <w:sz w:val="24"/>
                <w:szCs w:val="24"/>
              </w:rPr>
            </w:pPr>
            <w:r>
              <w:rPr>
                <w:sz w:val="24"/>
                <w:szCs w:val="24"/>
              </w:rPr>
              <w:t>3.</w:t>
            </w:r>
            <w:r>
              <w:rPr>
                <w:rFonts w:hint="eastAsia"/>
                <w:sz w:val="24"/>
                <w:szCs w:val="24"/>
              </w:rPr>
              <w:t>课程教学大纲、教案等及课程考试试卷等教学文档资料齐全，管理规范。</w:t>
            </w:r>
          </w:p>
          <w:p>
            <w:pPr>
              <w:rPr>
                <w:sz w:val="24"/>
                <w:szCs w:val="24"/>
              </w:rPr>
            </w:pPr>
            <w:r>
              <w:rPr>
                <w:sz w:val="24"/>
                <w:szCs w:val="24"/>
              </w:rPr>
              <w:t>4.</w:t>
            </w:r>
            <w:r>
              <w:rPr>
                <w:rFonts w:hint="eastAsia"/>
                <w:sz w:val="24"/>
                <w:szCs w:val="24"/>
              </w:rPr>
              <w:t>课程思政有机融入课程教学，思想政治教育贯穿教学全过程。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3.2</w:t>
            </w:r>
            <w:r>
              <w:rPr>
                <w:rFonts w:hint="eastAsia"/>
                <w:sz w:val="24"/>
                <w:szCs w:val="24"/>
              </w:rPr>
              <w:t>教材</w:t>
            </w:r>
          </w:p>
        </w:tc>
        <w:tc>
          <w:tcPr>
            <w:tcW w:w="10664" w:type="dxa"/>
            <w:vAlign w:val="center"/>
          </w:tcPr>
          <w:p>
            <w:pPr>
              <w:rPr>
                <w:sz w:val="24"/>
                <w:szCs w:val="24"/>
              </w:rPr>
            </w:pPr>
            <w:r>
              <w:rPr>
                <w:sz w:val="24"/>
                <w:szCs w:val="24"/>
              </w:rPr>
              <w:t>1.</w:t>
            </w:r>
            <w:r>
              <w:rPr>
                <w:rFonts w:hint="eastAsia"/>
                <w:sz w:val="24"/>
                <w:szCs w:val="24"/>
              </w:rPr>
              <w:t>教材选用合理，主干课程选用同行公认的优质教材，并积极选用近三年出版的新教材（特别是理工类、财经、政法类专业）。</w:t>
            </w:r>
          </w:p>
          <w:p>
            <w:pPr>
              <w:rPr>
                <w:sz w:val="24"/>
                <w:szCs w:val="24"/>
              </w:rPr>
            </w:pPr>
            <w:r>
              <w:rPr>
                <w:sz w:val="24"/>
                <w:szCs w:val="24"/>
              </w:rPr>
              <w:t>2.</w:t>
            </w:r>
            <w:r>
              <w:rPr>
                <w:rFonts w:hint="eastAsia"/>
                <w:sz w:val="24"/>
                <w:szCs w:val="24"/>
              </w:rPr>
              <w:t>支持特色教材建设的规划，有措施、有成效。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3.3</w:t>
            </w:r>
            <w:r>
              <w:rPr>
                <w:rFonts w:hint="eastAsia"/>
                <w:sz w:val="24"/>
                <w:szCs w:val="24"/>
              </w:rPr>
              <w:t>实践教学</w:t>
            </w:r>
          </w:p>
        </w:tc>
        <w:tc>
          <w:tcPr>
            <w:tcW w:w="10664" w:type="dxa"/>
            <w:vAlign w:val="center"/>
          </w:tcPr>
          <w:p>
            <w:pPr>
              <w:rPr>
                <w:sz w:val="24"/>
                <w:szCs w:val="24"/>
              </w:rPr>
            </w:pPr>
            <w:r>
              <w:rPr>
                <w:sz w:val="24"/>
                <w:szCs w:val="24"/>
              </w:rPr>
              <w:t>1.</w:t>
            </w:r>
            <w:r>
              <w:rPr>
                <w:rFonts w:hint="eastAsia"/>
                <w:sz w:val="24"/>
                <w:szCs w:val="24"/>
              </w:rPr>
              <w:t>实践教学体系符合培养目标要求。</w:t>
            </w:r>
          </w:p>
          <w:p>
            <w:pPr>
              <w:rPr>
                <w:sz w:val="24"/>
                <w:szCs w:val="24"/>
              </w:rPr>
            </w:pPr>
            <w:r>
              <w:rPr>
                <w:sz w:val="24"/>
                <w:szCs w:val="24"/>
              </w:rPr>
              <w:t>2.</w:t>
            </w:r>
            <w:r>
              <w:rPr>
                <w:rFonts w:hint="eastAsia"/>
                <w:sz w:val="24"/>
                <w:szCs w:val="24"/>
              </w:rPr>
              <w:t>实验教学大纲、实验指导书等基本教学文件及教学文档资料齐全，基本规范。</w:t>
            </w:r>
          </w:p>
          <w:p>
            <w:pPr>
              <w:rPr>
                <w:sz w:val="24"/>
                <w:szCs w:val="24"/>
              </w:rPr>
            </w:pPr>
            <w:r>
              <w:rPr>
                <w:sz w:val="24"/>
                <w:szCs w:val="24"/>
              </w:rPr>
              <w:t>3.</w:t>
            </w:r>
            <w:r>
              <w:rPr>
                <w:rFonts w:hint="eastAsia"/>
                <w:sz w:val="24"/>
                <w:szCs w:val="24"/>
              </w:rPr>
              <w:t>实验室管理制度健全，安全措施到位。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3.4</w:t>
            </w:r>
            <w:r>
              <w:rPr>
                <w:rFonts w:hint="eastAsia"/>
                <w:sz w:val="24"/>
                <w:szCs w:val="24"/>
              </w:rPr>
              <w:t>教学改革</w:t>
            </w:r>
          </w:p>
        </w:tc>
        <w:tc>
          <w:tcPr>
            <w:tcW w:w="10664" w:type="dxa"/>
            <w:vAlign w:val="center"/>
          </w:tcPr>
          <w:p>
            <w:pPr>
              <w:rPr>
                <w:sz w:val="24"/>
                <w:szCs w:val="24"/>
              </w:rPr>
            </w:pPr>
            <w:r>
              <w:rPr>
                <w:sz w:val="24"/>
                <w:szCs w:val="24"/>
              </w:rPr>
              <w:t>1.</w:t>
            </w:r>
            <w:r>
              <w:rPr>
                <w:rFonts w:hint="eastAsia"/>
                <w:sz w:val="24"/>
                <w:szCs w:val="24"/>
              </w:rPr>
              <w:t>重视教学改革，不断完善人才培养方案，本专业有教师主持校级以上教改或质量工程建设项目，获得校级及以上奖励。</w:t>
            </w:r>
          </w:p>
          <w:p>
            <w:pPr>
              <w:rPr>
                <w:sz w:val="24"/>
                <w:szCs w:val="24"/>
              </w:rPr>
            </w:pPr>
            <w:r>
              <w:rPr>
                <w:sz w:val="24"/>
                <w:szCs w:val="24"/>
              </w:rPr>
              <w:t>2.</w:t>
            </w:r>
            <w:r>
              <w:rPr>
                <w:rFonts w:hint="eastAsia"/>
                <w:sz w:val="24"/>
                <w:szCs w:val="24"/>
              </w:rPr>
              <w:t>积极探索先进的培养模式与教学方法，努力提高教学效果。努力丰富专业教学资源，积极有效利用慕课、微课等学习资源。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rPr>
                <w:sz w:val="24"/>
                <w:szCs w:val="24"/>
              </w:rPr>
            </w:pPr>
            <w:r>
              <w:rPr>
                <w:sz w:val="24"/>
                <w:szCs w:val="24"/>
              </w:rPr>
              <w:t>4.</w:t>
            </w:r>
            <w:r>
              <w:rPr>
                <w:rFonts w:hint="eastAsia"/>
                <w:sz w:val="24"/>
                <w:szCs w:val="24"/>
              </w:rPr>
              <w:t>办学条件</w:t>
            </w:r>
          </w:p>
        </w:tc>
        <w:tc>
          <w:tcPr>
            <w:tcW w:w="2447" w:type="dxa"/>
            <w:vAlign w:val="center"/>
          </w:tcPr>
          <w:p>
            <w:pPr>
              <w:rPr>
                <w:sz w:val="24"/>
                <w:szCs w:val="24"/>
              </w:rPr>
            </w:pPr>
            <w:r>
              <w:rPr>
                <w:sz w:val="24"/>
                <w:szCs w:val="24"/>
              </w:rPr>
              <w:t>4.1*</w:t>
            </w:r>
            <w:r>
              <w:rPr>
                <w:rFonts w:hint="eastAsia"/>
                <w:sz w:val="24"/>
                <w:szCs w:val="24"/>
              </w:rPr>
              <w:t>实验实习</w:t>
            </w:r>
          </w:p>
        </w:tc>
        <w:tc>
          <w:tcPr>
            <w:tcW w:w="10664" w:type="dxa"/>
            <w:vAlign w:val="center"/>
          </w:tcPr>
          <w:p>
            <w:pPr>
              <w:rPr>
                <w:sz w:val="24"/>
                <w:szCs w:val="24"/>
              </w:rPr>
            </w:pPr>
            <w:r>
              <w:rPr>
                <w:sz w:val="24"/>
                <w:szCs w:val="24"/>
              </w:rPr>
              <w:t>1.</w:t>
            </w:r>
            <w:r>
              <w:rPr>
                <w:rFonts w:hint="eastAsia"/>
                <w:sz w:val="24"/>
                <w:szCs w:val="24"/>
              </w:rPr>
              <w:t>实验场地与设备能较好的满足专业培养计划的需求，实验实践课程得到有效落实。</w:t>
            </w:r>
          </w:p>
          <w:p>
            <w:pPr>
              <w:rPr>
                <w:sz w:val="24"/>
                <w:szCs w:val="24"/>
              </w:rPr>
            </w:pPr>
            <w:r>
              <w:rPr>
                <w:sz w:val="24"/>
                <w:szCs w:val="24"/>
              </w:rPr>
              <w:t>2.</w:t>
            </w:r>
            <w:r>
              <w:rPr>
                <w:rFonts w:hint="eastAsia"/>
                <w:sz w:val="24"/>
                <w:szCs w:val="24"/>
              </w:rPr>
              <w:t>有较为稳定的校外实习实践教学基地，校内外实习基地能确保全体学生实习都得到有效的落实。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4.2</w:t>
            </w:r>
            <w:r>
              <w:rPr>
                <w:rFonts w:hint="eastAsia"/>
                <w:sz w:val="24"/>
                <w:szCs w:val="24"/>
              </w:rPr>
              <w:t>图书资料</w:t>
            </w:r>
          </w:p>
        </w:tc>
        <w:tc>
          <w:tcPr>
            <w:tcW w:w="10664" w:type="dxa"/>
            <w:vAlign w:val="center"/>
          </w:tcPr>
          <w:p>
            <w:pPr>
              <w:rPr>
                <w:sz w:val="24"/>
                <w:szCs w:val="24"/>
              </w:rPr>
            </w:pPr>
            <w:r>
              <w:rPr>
                <w:rFonts w:hint="eastAsia"/>
                <w:sz w:val="24"/>
                <w:szCs w:val="24"/>
              </w:rPr>
              <w:t>图书资料在数量上、功能上能满足本专业人才培养需要，重要专业期刊齐全，专业书籍复本数充足，学生借阅率高；数字化教学资源较为丰富、使用率高。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4.3</w:t>
            </w:r>
            <w:r>
              <w:rPr>
                <w:rFonts w:hint="eastAsia"/>
                <w:sz w:val="24"/>
                <w:szCs w:val="24"/>
              </w:rPr>
              <w:t>教学经费</w:t>
            </w:r>
          </w:p>
        </w:tc>
        <w:tc>
          <w:tcPr>
            <w:tcW w:w="10664" w:type="dxa"/>
            <w:vAlign w:val="center"/>
          </w:tcPr>
          <w:p>
            <w:pPr>
              <w:rPr>
                <w:sz w:val="24"/>
                <w:szCs w:val="24"/>
              </w:rPr>
            </w:pPr>
            <w:r>
              <w:rPr>
                <w:sz w:val="24"/>
                <w:szCs w:val="24"/>
              </w:rPr>
              <w:t>1.</w:t>
            </w:r>
            <w:r>
              <w:rPr>
                <w:rFonts w:hint="eastAsia"/>
                <w:sz w:val="24"/>
                <w:szCs w:val="24"/>
              </w:rPr>
              <w:t>教学经费充足并逐年稳步增长，生均年教学日常运行支出不低于相关标准。</w:t>
            </w:r>
          </w:p>
          <w:p>
            <w:pPr>
              <w:rPr>
                <w:sz w:val="24"/>
                <w:szCs w:val="24"/>
              </w:rPr>
            </w:pPr>
            <w:r>
              <w:rPr>
                <w:sz w:val="24"/>
                <w:szCs w:val="24"/>
              </w:rPr>
              <w:t>2.</w:t>
            </w:r>
            <w:r>
              <w:rPr>
                <w:rFonts w:hint="eastAsia"/>
                <w:sz w:val="24"/>
                <w:szCs w:val="24"/>
              </w:rPr>
              <w:t>有稳定的专业建设专项经费投入，能够满足课程建设、教育教学改革等专业建设需求。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rPr>
                <w:sz w:val="24"/>
                <w:szCs w:val="24"/>
              </w:rPr>
            </w:pPr>
            <w:r>
              <w:rPr>
                <w:sz w:val="24"/>
                <w:szCs w:val="24"/>
              </w:rPr>
              <w:t>5.</w:t>
            </w:r>
            <w:r>
              <w:rPr>
                <w:rFonts w:hint="eastAsia"/>
                <w:sz w:val="24"/>
                <w:szCs w:val="24"/>
              </w:rPr>
              <w:t>质量管理</w:t>
            </w:r>
          </w:p>
        </w:tc>
        <w:tc>
          <w:tcPr>
            <w:tcW w:w="2447" w:type="dxa"/>
            <w:vAlign w:val="center"/>
          </w:tcPr>
          <w:p>
            <w:pPr>
              <w:rPr>
                <w:sz w:val="24"/>
                <w:szCs w:val="24"/>
              </w:rPr>
            </w:pPr>
            <w:r>
              <w:rPr>
                <w:sz w:val="24"/>
                <w:szCs w:val="24"/>
              </w:rPr>
              <w:t>5.1</w:t>
            </w:r>
            <w:r>
              <w:rPr>
                <w:rFonts w:hint="eastAsia"/>
                <w:sz w:val="24"/>
                <w:szCs w:val="24"/>
              </w:rPr>
              <w:t>教学规范及制度建设</w:t>
            </w:r>
          </w:p>
        </w:tc>
        <w:tc>
          <w:tcPr>
            <w:tcW w:w="10664" w:type="dxa"/>
            <w:vAlign w:val="center"/>
          </w:tcPr>
          <w:p>
            <w:pPr>
              <w:numPr>
                <w:ilvl w:val="0"/>
                <w:numId w:val="1"/>
              </w:numPr>
              <w:rPr>
                <w:sz w:val="24"/>
                <w:szCs w:val="24"/>
              </w:rPr>
            </w:pPr>
            <w:r>
              <w:rPr>
                <w:rFonts w:hint="eastAsia"/>
                <w:sz w:val="24"/>
                <w:szCs w:val="24"/>
              </w:rPr>
              <w:t>教学管理规章制度健全，在各教学环节得到有效执行。</w:t>
            </w:r>
          </w:p>
          <w:p>
            <w:pPr>
              <w:numPr>
                <w:ilvl w:val="0"/>
                <w:numId w:val="1"/>
              </w:numPr>
              <w:rPr>
                <w:sz w:val="24"/>
                <w:szCs w:val="24"/>
              </w:rPr>
            </w:pPr>
            <w:r>
              <w:rPr>
                <w:rFonts w:hint="eastAsia"/>
                <w:sz w:val="24"/>
                <w:szCs w:val="24"/>
              </w:rPr>
              <w:t>有一支较高素质的教学管理队伍和完善的教学督导制度。</w:t>
            </w:r>
          </w:p>
          <w:p>
            <w:pPr>
              <w:rPr>
                <w:sz w:val="24"/>
                <w:szCs w:val="24"/>
              </w:rPr>
            </w:pPr>
            <w:r>
              <w:rPr>
                <w:sz w:val="24"/>
                <w:szCs w:val="24"/>
              </w:rPr>
              <w:t>3.</w:t>
            </w:r>
            <w:r>
              <w:rPr>
                <w:rFonts w:hint="eastAsia"/>
                <w:sz w:val="24"/>
                <w:szCs w:val="24"/>
              </w:rPr>
              <w:t>教学运行规范有序，教学计划、教学大纲、教案设计、教材及教辅资料选用、考试考核、毕业论文（设计）等活动规范。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5.2*</w:t>
            </w:r>
            <w:r>
              <w:rPr>
                <w:rFonts w:hint="eastAsia"/>
                <w:sz w:val="24"/>
                <w:szCs w:val="24"/>
              </w:rPr>
              <w:t>质量监控</w:t>
            </w:r>
          </w:p>
        </w:tc>
        <w:tc>
          <w:tcPr>
            <w:tcW w:w="10664" w:type="dxa"/>
            <w:vAlign w:val="center"/>
          </w:tcPr>
          <w:p>
            <w:pPr>
              <w:numPr>
                <w:ilvl w:val="0"/>
                <w:numId w:val="2"/>
              </w:numPr>
              <w:rPr>
                <w:sz w:val="24"/>
                <w:szCs w:val="24"/>
              </w:rPr>
            </w:pPr>
            <w:r>
              <w:rPr>
                <w:rFonts w:hint="eastAsia"/>
                <w:sz w:val="24"/>
                <w:szCs w:val="24"/>
              </w:rPr>
              <w:t>专业教学质量标准完备，建立了较完整的质量检查、分析、反馈与改进机制，主要教学环节教学质量保证的责任主体明确，工作到位。</w:t>
            </w:r>
          </w:p>
          <w:p>
            <w:pPr>
              <w:numPr>
                <w:ilvl w:val="0"/>
                <w:numId w:val="2"/>
              </w:numPr>
              <w:rPr>
                <w:sz w:val="24"/>
                <w:szCs w:val="24"/>
              </w:rPr>
            </w:pPr>
            <w:r>
              <w:rPr>
                <w:rFonts w:hint="eastAsia"/>
                <w:sz w:val="24"/>
                <w:szCs w:val="24"/>
              </w:rPr>
              <w:t>完善过程考核与结果性考核相结合的学业考评制度。</w:t>
            </w:r>
          </w:p>
          <w:p>
            <w:pPr>
              <w:rPr>
                <w:sz w:val="24"/>
                <w:szCs w:val="24"/>
              </w:rPr>
            </w:pPr>
            <w:r>
              <w:rPr>
                <w:sz w:val="24"/>
                <w:szCs w:val="24"/>
              </w:rPr>
              <w:t>3.</w:t>
            </w:r>
            <w:r>
              <w:rPr>
                <w:rFonts w:hint="eastAsia"/>
                <w:sz w:val="24"/>
                <w:szCs w:val="24"/>
              </w:rPr>
              <w:t>借助学校信息化教学管理与质量监控平台，强化动态教学质量监控和持续改进。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rPr>
                <w:sz w:val="24"/>
                <w:szCs w:val="24"/>
              </w:rPr>
            </w:pPr>
            <w:r>
              <w:rPr>
                <w:sz w:val="24"/>
                <w:szCs w:val="24"/>
              </w:rPr>
              <w:t>6.</w:t>
            </w:r>
            <w:r>
              <w:rPr>
                <w:rFonts w:hint="eastAsia"/>
                <w:sz w:val="24"/>
                <w:szCs w:val="24"/>
              </w:rPr>
              <w:t>教学效果</w:t>
            </w:r>
          </w:p>
        </w:tc>
        <w:tc>
          <w:tcPr>
            <w:tcW w:w="2447" w:type="dxa"/>
            <w:vAlign w:val="center"/>
          </w:tcPr>
          <w:p>
            <w:pPr>
              <w:rPr>
                <w:sz w:val="24"/>
                <w:szCs w:val="24"/>
              </w:rPr>
            </w:pPr>
            <w:r>
              <w:rPr>
                <w:sz w:val="24"/>
                <w:szCs w:val="24"/>
              </w:rPr>
              <w:t>6.1</w:t>
            </w:r>
            <w:r>
              <w:rPr>
                <w:rFonts w:hint="eastAsia"/>
                <w:sz w:val="24"/>
                <w:szCs w:val="24"/>
              </w:rPr>
              <w:t>基本素养</w:t>
            </w:r>
          </w:p>
        </w:tc>
        <w:tc>
          <w:tcPr>
            <w:tcW w:w="10664" w:type="dxa"/>
            <w:vAlign w:val="center"/>
          </w:tcPr>
          <w:p>
            <w:pPr>
              <w:rPr>
                <w:sz w:val="24"/>
                <w:szCs w:val="24"/>
              </w:rPr>
            </w:pPr>
            <w:r>
              <w:rPr>
                <w:sz w:val="24"/>
                <w:szCs w:val="24"/>
              </w:rPr>
              <w:t>1.</w:t>
            </w:r>
            <w:r>
              <w:rPr>
                <w:rFonts w:hint="eastAsia"/>
                <w:sz w:val="24"/>
                <w:szCs w:val="24"/>
              </w:rPr>
              <w:t>学生的思想政治教育和文化素质教育得到保证，学生具有良好的思想道德素养。</w:t>
            </w:r>
          </w:p>
          <w:p>
            <w:pPr>
              <w:rPr>
                <w:sz w:val="24"/>
                <w:szCs w:val="24"/>
              </w:rPr>
            </w:pPr>
            <w:r>
              <w:rPr>
                <w:sz w:val="24"/>
                <w:szCs w:val="24"/>
              </w:rPr>
              <w:t>2.</w:t>
            </w:r>
            <w:r>
              <w:rPr>
                <w:rFonts w:hint="eastAsia"/>
                <w:sz w:val="24"/>
                <w:szCs w:val="24"/>
              </w:rPr>
              <w:t>学生身心健康，积极向上。</w:t>
            </w:r>
          </w:p>
          <w:p>
            <w:pPr>
              <w:rPr>
                <w:sz w:val="24"/>
                <w:szCs w:val="24"/>
              </w:rPr>
            </w:pPr>
            <w:r>
              <w:rPr>
                <w:sz w:val="24"/>
                <w:szCs w:val="24"/>
              </w:rPr>
              <w:t>3.</w:t>
            </w:r>
            <w:r>
              <w:rPr>
                <w:rFonts w:hint="eastAsia"/>
                <w:sz w:val="24"/>
                <w:szCs w:val="24"/>
              </w:rPr>
              <w:t>达到预期的专业人才培养目标。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6.2</w:t>
            </w:r>
            <w:r>
              <w:rPr>
                <w:rFonts w:hint="eastAsia"/>
                <w:sz w:val="24"/>
                <w:szCs w:val="24"/>
              </w:rPr>
              <w:t>学风</w:t>
            </w:r>
          </w:p>
        </w:tc>
        <w:tc>
          <w:tcPr>
            <w:tcW w:w="10664" w:type="dxa"/>
            <w:vAlign w:val="center"/>
          </w:tcPr>
          <w:p>
            <w:pPr>
              <w:rPr>
                <w:sz w:val="24"/>
                <w:szCs w:val="24"/>
              </w:rPr>
            </w:pPr>
            <w:r>
              <w:rPr>
                <w:rFonts w:hint="eastAsia"/>
                <w:sz w:val="24"/>
                <w:szCs w:val="24"/>
              </w:rPr>
              <w:t>学生遵守校纪校规；绝大多数学生认真学习，出勤率、迟到率、作业完成情况都控制在正常状态，考风良好。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trike/>
                <w:sz w:val="24"/>
                <w:szCs w:val="24"/>
              </w:rPr>
            </w:pPr>
            <w:r>
              <w:rPr>
                <w:sz w:val="24"/>
                <w:szCs w:val="24"/>
              </w:rPr>
              <w:t>6.3</w:t>
            </w:r>
            <w:r>
              <w:rPr>
                <w:rFonts w:hint="eastAsia"/>
                <w:sz w:val="24"/>
                <w:szCs w:val="24"/>
              </w:rPr>
              <w:t>学业成绩及综合素质</w:t>
            </w:r>
          </w:p>
        </w:tc>
        <w:tc>
          <w:tcPr>
            <w:tcW w:w="10664" w:type="dxa"/>
            <w:vAlign w:val="center"/>
          </w:tcPr>
          <w:p>
            <w:pPr>
              <w:rPr>
                <w:sz w:val="24"/>
                <w:szCs w:val="24"/>
              </w:rPr>
            </w:pPr>
            <w:r>
              <w:rPr>
                <w:sz w:val="24"/>
                <w:szCs w:val="24"/>
              </w:rPr>
              <w:t>1.</w:t>
            </w:r>
            <w:r>
              <w:rPr>
                <w:rFonts w:hint="eastAsia"/>
                <w:sz w:val="24"/>
                <w:szCs w:val="24"/>
              </w:rPr>
              <w:t>学生较好的掌握了培养计划要求的基本理论与技能，达到了预定的培养目标。</w:t>
            </w:r>
          </w:p>
          <w:p>
            <w:pPr>
              <w:rPr>
                <w:sz w:val="24"/>
                <w:szCs w:val="24"/>
              </w:rPr>
            </w:pPr>
            <w:r>
              <w:rPr>
                <w:sz w:val="24"/>
                <w:szCs w:val="24"/>
              </w:rPr>
              <w:t>2.</w:t>
            </w:r>
            <w:r>
              <w:rPr>
                <w:rFonts w:hint="eastAsia"/>
                <w:sz w:val="24"/>
                <w:szCs w:val="24"/>
              </w:rPr>
              <w:t>学生具有较好的创新精神与实践能力。</w:t>
            </w:r>
          </w:p>
          <w:p>
            <w:pPr>
              <w:rPr>
                <w:sz w:val="24"/>
                <w:szCs w:val="24"/>
              </w:rPr>
            </w:pPr>
            <w:r>
              <w:rPr>
                <w:sz w:val="24"/>
                <w:szCs w:val="24"/>
              </w:rPr>
              <w:t>3.</w:t>
            </w:r>
            <w:r>
              <w:rPr>
                <w:rFonts w:hint="eastAsia"/>
                <w:sz w:val="24"/>
                <w:szCs w:val="24"/>
              </w:rPr>
              <w:t>各类课程考核成绩正常，符合教学规律，达到教学要求。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rPr>
                <w:sz w:val="24"/>
                <w:szCs w:val="24"/>
              </w:rPr>
            </w:pPr>
          </w:p>
        </w:tc>
        <w:tc>
          <w:tcPr>
            <w:tcW w:w="2447" w:type="dxa"/>
            <w:vAlign w:val="center"/>
          </w:tcPr>
          <w:p>
            <w:pPr>
              <w:rPr>
                <w:sz w:val="24"/>
                <w:szCs w:val="24"/>
              </w:rPr>
            </w:pPr>
            <w:r>
              <w:rPr>
                <w:sz w:val="24"/>
                <w:szCs w:val="24"/>
              </w:rPr>
              <w:t>6.4</w:t>
            </w:r>
            <w:r>
              <w:rPr>
                <w:rFonts w:hint="eastAsia"/>
                <w:sz w:val="24"/>
                <w:szCs w:val="24"/>
              </w:rPr>
              <w:t>毕业设计（论文）</w:t>
            </w:r>
          </w:p>
        </w:tc>
        <w:tc>
          <w:tcPr>
            <w:tcW w:w="10664" w:type="dxa"/>
            <w:vAlign w:val="center"/>
          </w:tcPr>
          <w:p>
            <w:pPr>
              <w:rPr>
                <w:sz w:val="24"/>
                <w:szCs w:val="24"/>
              </w:rPr>
            </w:pPr>
            <w:r>
              <w:rPr>
                <w:sz w:val="24"/>
                <w:szCs w:val="24"/>
              </w:rPr>
              <w:t>1.</w:t>
            </w:r>
            <w:r>
              <w:rPr>
                <w:rFonts w:hint="eastAsia"/>
                <w:sz w:val="24"/>
                <w:szCs w:val="24"/>
              </w:rPr>
              <w:t>毕业设计（论文或者课程设计）有严格的管理制度；选题结合实际，符合培养目标要求。</w:t>
            </w:r>
          </w:p>
          <w:p>
            <w:pPr>
              <w:rPr>
                <w:sz w:val="24"/>
                <w:szCs w:val="24"/>
              </w:rPr>
            </w:pPr>
            <w:r>
              <w:rPr>
                <w:sz w:val="24"/>
                <w:szCs w:val="24"/>
              </w:rPr>
              <w:t>2.</w:t>
            </w:r>
            <w:r>
              <w:rPr>
                <w:rFonts w:hint="eastAsia"/>
                <w:sz w:val="24"/>
                <w:szCs w:val="24"/>
              </w:rPr>
              <w:t>一位教师指导学生人数一般不超过</w:t>
            </w:r>
            <w:r>
              <w:rPr>
                <w:sz w:val="24"/>
                <w:szCs w:val="24"/>
              </w:rPr>
              <w:t>8</w:t>
            </w:r>
            <w:r>
              <w:rPr>
                <w:rFonts w:hint="eastAsia"/>
                <w:sz w:val="24"/>
                <w:szCs w:val="24"/>
              </w:rPr>
              <w:t>人。</w:t>
            </w:r>
          </w:p>
          <w:p>
            <w:pPr>
              <w:rPr>
                <w:sz w:val="24"/>
                <w:szCs w:val="24"/>
              </w:rPr>
            </w:pPr>
            <w:r>
              <w:rPr>
                <w:sz w:val="24"/>
                <w:szCs w:val="24"/>
              </w:rPr>
              <w:t>3.</w:t>
            </w:r>
            <w:r>
              <w:rPr>
                <w:rFonts w:hint="eastAsia"/>
                <w:sz w:val="24"/>
                <w:szCs w:val="24"/>
              </w:rPr>
              <w:t>以实验、实习、工程实践和社会调查等实践性工作为基础的毕业论文（设计）比例≥50%。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84" w:type="dxa"/>
            <w:vMerge w:val="continue"/>
            <w:vAlign w:val="center"/>
          </w:tcPr>
          <w:p>
            <w:pPr>
              <w:rPr>
                <w:sz w:val="24"/>
                <w:szCs w:val="24"/>
              </w:rPr>
            </w:pPr>
          </w:p>
        </w:tc>
        <w:tc>
          <w:tcPr>
            <w:tcW w:w="2447" w:type="dxa"/>
            <w:vAlign w:val="center"/>
          </w:tcPr>
          <w:p>
            <w:pPr>
              <w:rPr>
                <w:sz w:val="24"/>
                <w:szCs w:val="24"/>
              </w:rPr>
            </w:pPr>
            <w:r>
              <w:rPr>
                <w:sz w:val="24"/>
                <w:szCs w:val="24"/>
              </w:rPr>
              <w:t>6.5</w:t>
            </w:r>
            <w:r>
              <w:rPr>
                <w:rFonts w:hint="eastAsia"/>
                <w:sz w:val="24"/>
                <w:szCs w:val="24"/>
              </w:rPr>
              <w:t>学生成长与社会评价</w:t>
            </w:r>
          </w:p>
        </w:tc>
        <w:tc>
          <w:tcPr>
            <w:tcW w:w="10664" w:type="dxa"/>
            <w:vAlign w:val="center"/>
          </w:tcPr>
          <w:p>
            <w:pPr>
              <w:numPr>
                <w:ilvl w:val="0"/>
                <w:numId w:val="3"/>
              </w:numPr>
              <w:rPr>
                <w:sz w:val="24"/>
                <w:szCs w:val="24"/>
              </w:rPr>
            </w:pPr>
            <w:r>
              <w:rPr>
                <w:rFonts w:hint="eastAsia"/>
                <w:sz w:val="24"/>
                <w:szCs w:val="24"/>
              </w:rPr>
              <w:t>制定了科学合理的学位管理和授予制度，并有效执行。提供毕业率、学位授予率数据。</w:t>
            </w:r>
          </w:p>
          <w:p>
            <w:pPr>
              <w:numPr>
                <w:ilvl w:val="0"/>
                <w:numId w:val="3"/>
              </w:numPr>
              <w:rPr>
                <w:sz w:val="24"/>
                <w:szCs w:val="24"/>
              </w:rPr>
            </w:pPr>
            <w:r>
              <w:rPr>
                <w:rFonts w:hint="eastAsia"/>
                <w:sz w:val="24"/>
                <w:szCs w:val="24"/>
              </w:rPr>
              <w:t>学生（毕业生与在校生）对学习与成长的满意度。提供初次就业率数据。</w:t>
            </w:r>
          </w:p>
          <w:p>
            <w:pPr>
              <w:numPr>
                <w:ilvl w:val="0"/>
                <w:numId w:val="3"/>
              </w:numPr>
              <w:rPr>
                <w:sz w:val="24"/>
                <w:szCs w:val="24"/>
              </w:rPr>
            </w:pPr>
            <w:r>
              <w:rPr>
                <w:rFonts w:hint="eastAsia"/>
                <w:sz w:val="24"/>
                <w:szCs w:val="24"/>
              </w:rPr>
              <w:t>有用人单位关于毕业生满意度的跟踪调查制度，用人单位满意度较高。</w:t>
            </w:r>
          </w:p>
        </w:tc>
      </w:tr>
    </w:tbl>
    <w:p>
      <w:pPr>
        <w:rPr>
          <w:rFonts w:ascii="仿宋" w:hAnsi="仿宋" w:eastAsia="仿宋"/>
        </w:rPr>
      </w:pPr>
      <w:r>
        <w:rPr>
          <w:rFonts w:hint="eastAsia" w:ascii="仿宋" w:hAnsi="仿宋" w:eastAsia="仿宋"/>
        </w:rPr>
        <w:t>注：1.本表“*”标记的为核心指标，二级指标中设核心指标</w:t>
      </w:r>
      <w:r>
        <w:rPr>
          <w:rFonts w:ascii="仿宋" w:hAnsi="仿宋" w:eastAsia="仿宋"/>
        </w:rPr>
        <w:t>7</w:t>
      </w:r>
      <w:r>
        <w:rPr>
          <w:rFonts w:hint="eastAsia" w:ascii="仿宋" w:hAnsi="仿宋" w:eastAsia="仿宋"/>
        </w:rPr>
        <w:t>个，其他为一般指标。</w:t>
      </w:r>
    </w:p>
    <w:p>
      <w:pPr>
        <w:ind w:firstLine="420"/>
        <w:rPr>
          <w:rFonts w:ascii="仿宋" w:hAnsi="仿宋" w:eastAsia="仿宋"/>
        </w:rPr>
      </w:pPr>
      <w:r>
        <w:rPr>
          <w:rFonts w:hint="eastAsia" w:ascii="仿宋" w:hAnsi="仿宋" w:eastAsia="仿宋"/>
        </w:rPr>
        <w:t>2.二级指标评分为“合格”与“不合格”，总体评价分为“通过”与“整改”。</w:t>
      </w:r>
    </w:p>
    <w:p>
      <w:pPr>
        <w:ind w:firstLine="420"/>
        <w:rPr>
          <w:rFonts w:ascii="仿宋" w:hAnsi="仿宋" w:eastAsia="仿宋"/>
          <w:b/>
          <w:bCs/>
        </w:rPr>
      </w:pPr>
      <w:r>
        <w:rPr>
          <w:rFonts w:hint="eastAsia" w:ascii="仿宋" w:hAnsi="仿宋" w:eastAsia="仿宋"/>
          <w:b/>
          <w:bCs/>
        </w:rPr>
        <w:t>3.评估通过的标准为：核心指标全部合格，一般指标不合格数不超过2个。</w:t>
      </w:r>
    </w:p>
    <w:p>
      <w:pPr>
        <w:snapToGrid w:val="0"/>
        <w:spacing w:line="500" w:lineRule="exact"/>
        <w:jc w:val="center"/>
        <w:rPr>
          <w:rFonts w:ascii="方正小标宋简体" w:hAnsi="宋体" w:eastAsia="方正小标宋简体" w:cs="方正小标宋简体"/>
          <w:color w:val="000000"/>
          <w:kern w:val="0"/>
          <w:sz w:val="38"/>
          <w:szCs w:val="38"/>
        </w:rPr>
      </w:pPr>
    </w:p>
    <w:p>
      <w:pPr>
        <w:snapToGrid w:val="0"/>
        <w:spacing w:line="500" w:lineRule="exact"/>
        <w:jc w:val="center"/>
        <w:rPr>
          <w:rFonts w:ascii="方正小标宋简体" w:hAnsi="宋体" w:eastAsia="方正小标宋简体" w:cs="方正小标宋简体"/>
          <w:color w:val="000000"/>
          <w:kern w:val="0"/>
          <w:sz w:val="38"/>
          <w:szCs w:val="38"/>
        </w:rPr>
      </w:pPr>
    </w:p>
    <w:p>
      <w:pPr>
        <w:snapToGrid w:val="0"/>
        <w:spacing w:line="200" w:lineRule="exact"/>
        <w:jc w:val="left"/>
        <w:rPr>
          <w:rFonts w:ascii="仿宋_GB2312" w:hAnsi="宋体" w:eastAsia="仿宋_GB2312"/>
          <w:color w:val="000000"/>
          <w:kern w:val="0"/>
          <w:sz w:val="32"/>
          <w:szCs w:val="32"/>
        </w:rPr>
      </w:pPr>
    </w:p>
    <w:p>
      <w:pPr>
        <w:snapToGrid w:val="0"/>
        <w:spacing w:line="280" w:lineRule="exact"/>
        <w:ind w:firstLine="360" w:firstLineChars="200"/>
        <w:rPr>
          <w:rFonts w:ascii="宋体" w:hAnsi="宋体" w:cs="宋体"/>
          <w:kern w:val="0"/>
          <w:sz w:val="18"/>
          <w:szCs w:val="18"/>
        </w:rPr>
      </w:pPr>
    </w:p>
    <w:p>
      <w:pPr>
        <w:snapToGrid w:val="0"/>
        <w:spacing w:line="280" w:lineRule="exact"/>
        <w:ind w:firstLine="360" w:firstLineChars="200"/>
        <w:rPr>
          <w:rFonts w:ascii="宋体" w:hAnsi="宋体" w:cs="宋体"/>
          <w:kern w:val="0"/>
          <w:sz w:val="18"/>
          <w:szCs w:val="18"/>
        </w:rPr>
        <w:sectPr>
          <w:headerReference r:id="rId9" w:type="first"/>
          <w:headerReference r:id="rId7" w:type="default"/>
          <w:footerReference r:id="rId10" w:type="default"/>
          <w:headerReference r:id="rId8" w:type="even"/>
          <w:pgSz w:w="16838" w:h="11906" w:orient="landscape"/>
          <w:pgMar w:top="1474" w:right="1418" w:bottom="1474" w:left="1531" w:header="851" w:footer="992" w:gutter="0"/>
          <w:cols w:space="425" w:num="1"/>
          <w:docGrid w:type="linesAndChars" w:linePitch="312" w:charSpace="0"/>
        </w:sectPr>
      </w:pPr>
    </w:p>
    <w:p>
      <w:pPr>
        <w:spacing w:line="500" w:lineRule="exact"/>
        <w:rPr>
          <w:rFonts w:ascii="仿宋" w:hAnsi="仿宋" w:eastAsia="仿宋"/>
          <w:b/>
          <w:bCs/>
          <w:sz w:val="28"/>
          <w:szCs w:val="28"/>
        </w:rPr>
      </w:pPr>
      <w:r>
        <w:rPr>
          <w:rFonts w:hint="eastAsia" w:ascii="仿宋" w:hAnsi="仿宋" w:eastAsia="仿宋"/>
          <w:b/>
          <w:bCs/>
          <w:sz w:val="28"/>
          <w:szCs w:val="28"/>
        </w:rPr>
        <w:t>表2：</w:t>
      </w:r>
    </w:p>
    <w:p>
      <w:pPr>
        <w:spacing w:line="500" w:lineRule="exact"/>
        <w:ind w:firstLine="562" w:firstLineChars="200"/>
        <w:jc w:val="center"/>
        <w:rPr>
          <w:rFonts w:ascii="仿宋" w:hAnsi="仿宋" w:eastAsia="仿宋"/>
          <w:b/>
          <w:bCs/>
          <w:sz w:val="28"/>
          <w:szCs w:val="28"/>
        </w:rPr>
      </w:pPr>
      <w:r>
        <w:rPr>
          <w:rFonts w:hint="eastAsia" w:ascii="仿宋" w:hAnsi="仿宋" w:eastAsia="仿宋"/>
          <w:b/>
          <w:bCs/>
          <w:sz w:val="28"/>
          <w:szCs w:val="28"/>
        </w:rPr>
        <w:t>专家访谈、考查等记录表（样表）</w:t>
      </w:r>
    </w:p>
    <w:p>
      <w:pPr>
        <w:spacing w:line="500" w:lineRule="exact"/>
        <w:ind w:firstLine="560" w:firstLineChars="200"/>
        <w:rPr>
          <w:rFonts w:ascii="仿宋" w:hAnsi="仿宋" w:eastAsia="仿宋"/>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47"/>
        <w:gridCol w:w="1199"/>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bCs/>
                <w:sz w:val="28"/>
                <w:szCs w:val="28"/>
              </w:rPr>
            </w:pPr>
            <w:r>
              <w:rPr>
                <w:rFonts w:hint="eastAsia" w:ascii="宋体" w:hAnsi="宋体"/>
                <w:bCs/>
                <w:sz w:val="28"/>
                <w:szCs w:val="28"/>
              </w:rPr>
              <w:t>学院</w:t>
            </w:r>
          </w:p>
        </w:tc>
        <w:tc>
          <w:tcPr>
            <w:tcW w:w="3447" w:type="dxa"/>
          </w:tcPr>
          <w:p>
            <w:pPr>
              <w:jc w:val="center"/>
              <w:rPr>
                <w:rFonts w:ascii="宋体" w:hAnsi="宋体"/>
                <w:bCs/>
                <w:sz w:val="28"/>
                <w:szCs w:val="28"/>
              </w:rPr>
            </w:pPr>
          </w:p>
        </w:tc>
        <w:tc>
          <w:tcPr>
            <w:tcW w:w="1199" w:type="dxa"/>
          </w:tcPr>
          <w:p>
            <w:pPr>
              <w:jc w:val="center"/>
              <w:rPr>
                <w:rFonts w:ascii="宋体" w:hAnsi="宋体"/>
                <w:bCs/>
                <w:sz w:val="28"/>
                <w:szCs w:val="28"/>
              </w:rPr>
            </w:pPr>
            <w:r>
              <w:rPr>
                <w:rFonts w:hint="eastAsia" w:ascii="宋体" w:hAnsi="宋体"/>
                <w:bCs/>
                <w:sz w:val="28"/>
                <w:szCs w:val="28"/>
              </w:rPr>
              <w:t>专业</w:t>
            </w:r>
          </w:p>
        </w:tc>
        <w:tc>
          <w:tcPr>
            <w:tcW w:w="3065"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hAnsi="宋体"/>
                <w:bCs/>
                <w:sz w:val="28"/>
                <w:szCs w:val="28"/>
              </w:rPr>
            </w:pPr>
            <w:r>
              <w:rPr>
                <w:rFonts w:hint="eastAsia" w:ascii="宋体" w:hAnsi="宋体"/>
                <w:bCs/>
                <w:sz w:val="28"/>
                <w:szCs w:val="28"/>
              </w:rPr>
              <w:t>内容</w:t>
            </w:r>
          </w:p>
        </w:tc>
        <w:tc>
          <w:tcPr>
            <w:tcW w:w="7711" w:type="dxa"/>
            <w:gridSpan w:val="3"/>
          </w:tcPr>
          <w:p>
            <w:pPr>
              <w:rPr>
                <w:rFonts w:ascii="宋体" w:hAnsi="宋体"/>
                <w:bCs/>
                <w:sz w:val="28"/>
                <w:szCs w:val="28"/>
              </w:rPr>
            </w:pPr>
            <w:r>
              <w:rPr>
                <w:rFonts w:hint="eastAsia" w:asciiTheme="minorEastAsia" w:hAnsiTheme="minorEastAsia"/>
                <w:bCs/>
                <w:sz w:val="28"/>
                <w:szCs w:val="28"/>
              </w:rPr>
              <w:t>□</w:t>
            </w:r>
            <w:r>
              <w:rPr>
                <w:rFonts w:hint="eastAsia" w:ascii="宋体" w:hAnsi="宋体"/>
                <w:bCs/>
                <w:sz w:val="28"/>
                <w:szCs w:val="28"/>
              </w:rPr>
              <w:t xml:space="preserve">访谈 </w:t>
            </w:r>
            <w:r>
              <w:rPr>
                <w:rFonts w:hint="eastAsia" w:asciiTheme="minorEastAsia" w:hAnsiTheme="minorEastAsia"/>
                <w:bCs/>
                <w:sz w:val="28"/>
                <w:szCs w:val="28"/>
              </w:rPr>
              <w:t>□座谈 □</w:t>
            </w:r>
            <w:r>
              <w:rPr>
                <w:rFonts w:hint="eastAsia" w:ascii="宋体" w:hAnsi="宋体"/>
                <w:bCs/>
                <w:sz w:val="28"/>
                <w:szCs w:val="28"/>
              </w:rPr>
              <w:t>考查</w:t>
            </w:r>
            <w:r>
              <w:rPr>
                <w:rFonts w:hint="eastAsia" w:asciiTheme="minorEastAsia" w:hAnsiTheme="minorEastAsia"/>
                <w:bCs/>
                <w:sz w:val="28"/>
                <w:szCs w:val="28"/>
              </w:rPr>
              <w:t>设施设备 □</w:t>
            </w:r>
            <w:r>
              <w:rPr>
                <w:rFonts w:hint="eastAsia" w:ascii="宋体" w:hAnsi="宋体"/>
                <w:bCs/>
                <w:sz w:val="28"/>
                <w:szCs w:val="28"/>
              </w:rPr>
              <w:t>查阅资料</w:t>
            </w:r>
            <w:r>
              <w:rPr>
                <w:rFonts w:hint="eastAsia" w:asciiTheme="minorEastAsia" w:hAnsiTheme="minorEastAsia"/>
                <w:bCs/>
                <w:sz w:val="28"/>
                <w:szCs w:val="28"/>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Pr>
          <w:p>
            <w:pPr>
              <w:jc w:val="center"/>
              <w:rPr>
                <w:rFonts w:ascii="宋体" w:hAnsi="宋体"/>
                <w:bCs/>
                <w:sz w:val="28"/>
                <w:szCs w:val="28"/>
              </w:rPr>
            </w:pPr>
            <w:r>
              <w:rPr>
                <w:rFonts w:hint="eastAsia" w:ascii="宋体" w:hAnsi="宋体"/>
                <w:bCs/>
                <w:sz w:val="28"/>
                <w:szCs w:val="28"/>
              </w:rPr>
              <w:t>简要记录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atLeast"/>
        </w:trPr>
        <w:tc>
          <w:tcPr>
            <w:tcW w:w="8528" w:type="dxa"/>
            <w:gridSpan w:val="4"/>
          </w:tcPr>
          <w:p>
            <w:pPr>
              <w:jc w:val="center"/>
              <w:rPr>
                <w:rFonts w:ascii="宋体" w:hAnsi="宋体"/>
                <w:bCs/>
                <w:sz w:val="28"/>
                <w:szCs w:val="28"/>
              </w:rPr>
            </w:pPr>
          </w:p>
        </w:tc>
      </w:tr>
    </w:tbl>
    <w:p>
      <w:pPr>
        <w:spacing w:line="276" w:lineRule="auto"/>
        <w:rPr>
          <w:rFonts w:ascii="宋体" w:hAnsi="宋体"/>
          <w:bCs/>
          <w:sz w:val="28"/>
          <w:szCs w:val="28"/>
        </w:rPr>
      </w:pPr>
      <w:r>
        <w:rPr>
          <w:rFonts w:hint="eastAsia" w:ascii="宋体" w:hAnsi="宋体"/>
          <w:b/>
          <w:sz w:val="24"/>
          <w:szCs w:val="24"/>
        </w:rPr>
        <w:t xml:space="preserve"> </w:t>
      </w:r>
      <w:r>
        <w:rPr>
          <w:rFonts w:hint="eastAsia" w:ascii="宋体" w:hAnsi="宋体"/>
          <w:bCs/>
          <w:sz w:val="28"/>
          <w:szCs w:val="28"/>
        </w:rPr>
        <w:t>专家（签字）：                           年   月   日</w:t>
      </w:r>
    </w:p>
    <w:p>
      <w:pPr>
        <w:spacing w:line="240" w:lineRule="exact"/>
        <w:rPr>
          <w:rFonts w:ascii="宋体" w:hAnsi="宋体"/>
          <w:bCs/>
          <w:sz w:val="24"/>
          <w:szCs w:val="24"/>
        </w:rPr>
      </w:pPr>
    </w:p>
    <w:p>
      <w:pPr>
        <w:rPr>
          <w:rFonts w:ascii="宋体" w:hAnsi="宋体"/>
          <w:bCs/>
          <w:sz w:val="28"/>
          <w:szCs w:val="28"/>
        </w:rPr>
      </w:pPr>
      <w:r>
        <w:rPr>
          <w:rFonts w:hint="eastAsia" w:ascii="宋体" w:hAnsi="宋体"/>
          <w:bCs/>
          <w:sz w:val="24"/>
          <w:szCs w:val="24"/>
        </w:rPr>
        <w:t>备注：本表主要用于专家对其主要负责的每个专业现场考查的情况记录。</w:t>
      </w:r>
    </w:p>
    <w:p>
      <w:pPr>
        <w:spacing w:line="240" w:lineRule="atLeast"/>
        <w:rPr>
          <w:rFonts w:ascii="宋体" w:hAnsi="宋体"/>
          <w:b/>
          <w:sz w:val="24"/>
          <w:szCs w:val="24"/>
        </w:rPr>
        <w:sectPr>
          <w:pgSz w:w="11906" w:h="16838"/>
          <w:pgMar w:top="1531" w:right="1474" w:bottom="1418" w:left="1474" w:header="851" w:footer="992" w:gutter="0"/>
          <w:cols w:space="425" w:num="1"/>
          <w:docGrid w:linePitch="312" w:charSpace="0"/>
        </w:sectPr>
      </w:pPr>
    </w:p>
    <w:p>
      <w:pPr>
        <w:spacing w:line="500" w:lineRule="exact"/>
        <w:rPr>
          <w:rFonts w:ascii="仿宋" w:hAnsi="仿宋" w:eastAsia="仿宋"/>
          <w:b/>
          <w:bCs/>
          <w:sz w:val="28"/>
          <w:szCs w:val="28"/>
        </w:rPr>
      </w:pPr>
      <w:r>
        <w:rPr>
          <w:rFonts w:hint="eastAsia" w:ascii="仿宋" w:hAnsi="仿宋" w:eastAsia="仿宋"/>
          <w:b/>
          <w:bCs/>
          <w:sz w:val="28"/>
          <w:szCs w:val="28"/>
        </w:rPr>
        <w:t>表3：</w:t>
      </w:r>
    </w:p>
    <w:p>
      <w:pPr>
        <w:spacing w:line="500" w:lineRule="exact"/>
        <w:ind w:firstLine="562" w:firstLineChars="200"/>
        <w:jc w:val="center"/>
        <w:rPr>
          <w:rFonts w:ascii="仿宋" w:hAnsi="仿宋" w:eastAsia="仿宋"/>
          <w:b/>
          <w:bCs/>
          <w:sz w:val="28"/>
          <w:szCs w:val="28"/>
        </w:rPr>
      </w:pPr>
      <w:r>
        <w:rPr>
          <w:rFonts w:hint="eastAsia" w:ascii="仿宋" w:hAnsi="仿宋" w:eastAsia="仿宋"/>
          <w:b/>
          <w:bCs/>
          <w:sz w:val="28"/>
          <w:szCs w:val="28"/>
        </w:rPr>
        <w:t>听课看课情况记录表（样表）</w:t>
      </w:r>
    </w:p>
    <w:p>
      <w:pPr>
        <w:rPr>
          <w:rFonts w:ascii="宋体" w:hAnsi="宋体"/>
          <w:bCs/>
          <w:sz w:val="28"/>
          <w:szCs w:val="28"/>
        </w:rPr>
      </w:pPr>
    </w:p>
    <w:p>
      <w:pPr>
        <w:spacing w:line="360" w:lineRule="auto"/>
        <w:ind w:firstLine="354" w:firstLineChars="147"/>
        <w:rPr>
          <w:rFonts w:ascii="仿宋_GB2312" w:hAnsi="宋体" w:eastAsia="仿宋_GB2312"/>
          <w:b/>
          <w:bCs/>
          <w:sz w:val="24"/>
          <w:szCs w:val="24"/>
        </w:rPr>
      </w:pPr>
      <w:r>
        <w:rPr>
          <w:rFonts w:hint="eastAsia" w:ascii="仿宋_GB2312" w:hAnsi="宋体" w:eastAsia="仿宋_GB2312" w:cs="仿宋_GB2312"/>
          <w:b/>
          <w:bCs/>
          <w:sz w:val="24"/>
          <w:szCs w:val="24"/>
        </w:rPr>
        <w:t>专业名称：</w:t>
      </w:r>
      <w:r>
        <w:rPr>
          <w:rFonts w:ascii="仿宋_GB2312" w:hAnsi="宋体" w:eastAsia="仿宋_GB2312" w:cs="仿宋_GB2312"/>
          <w:b/>
          <w:bCs/>
          <w:sz w:val="24"/>
          <w:szCs w:val="24"/>
          <w:u w:val="single"/>
        </w:rPr>
        <w:t xml:space="preserve">             </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考查时间：</w:t>
      </w:r>
      <w:r>
        <w:rPr>
          <w:rFonts w:ascii="仿宋_GB2312" w:hAnsi="宋体" w:eastAsia="仿宋_GB2312" w:cs="仿宋_GB2312"/>
          <w:b/>
          <w:bCs/>
          <w:sz w:val="24"/>
          <w:szCs w:val="24"/>
          <w:u w:val="single"/>
        </w:rPr>
        <w:t xml:space="preserve">                  </w:t>
      </w:r>
      <w:r>
        <w:rPr>
          <w:rFonts w:ascii="仿宋_GB2312" w:hAnsi="宋体" w:eastAsia="仿宋_GB2312" w:cs="仿宋_GB2312"/>
          <w:b/>
          <w:bCs/>
          <w:sz w:val="24"/>
          <w:szCs w:val="24"/>
        </w:rPr>
        <w:t xml:space="preserve">     </w:t>
      </w:r>
    </w:p>
    <w:p>
      <w:pPr>
        <w:adjustRightInd w:val="0"/>
        <w:snapToGrid w:val="0"/>
        <w:ind w:firstLine="352" w:firstLineChars="147"/>
        <w:rPr>
          <w:rFonts w:ascii="仿宋_GB2312" w:hAnsi="宋体" w:eastAsia="仿宋_GB2312" w:cs="仿宋_GB2312"/>
          <w:sz w:val="24"/>
          <w:szCs w:val="24"/>
        </w:rPr>
      </w:pPr>
      <w:r>
        <w:rPr>
          <w:rFonts w:hint="eastAsia" w:ascii="仿宋_GB2312" w:hAnsi="宋体" w:eastAsia="仿宋_GB2312" w:cs="仿宋_GB2312"/>
          <w:sz w:val="24"/>
          <w:szCs w:val="24"/>
        </w:rPr>
        <w:t>（填表说明：听课看课的方式、时间可以灵活掌握，既可以听全</w:t>
      </w:r>
      <w:r>
        <w:rPr>
          <w:rFonts w:ascii="仿宋_GB2312" w:hAnsi="宋体" w:eastAsia="仿宋_GB2312" w:cs="仿宋_GB2312"/>
          <w:sz w:val="24"/>
          <w:szCs w:val="24"/>
        </w:rPr>
        <w:t>1</w:t>
      </w:r>
      <w:r>
        <w:rPr>
          <w:rFonts w:hint="eastAsia" w:ascii="仿宋_GB2312" w:hAnsi="宋体" w:eastAsia="仿宋_GB2312" w:cs="仿宋_GB2312"/>
          <w:sz w:val="24"/>
          <w:szCs w:val="24"/>
        </w:rPr>
        <w:t>节课，也可以几分钟随堂观摩，还可以对课堂教学进行巡视。请将听课看课的相关情况进行记录，并对课堂教学整体存在的问题提出建议。）</w:t>
      </w:r>
    </w:p>
    <w:tbl>
      <w:tblPr>
        <w:tblStyle w:val="13"/>
        <w:tblW w:w="93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160"/>
        <w:gridCol w:w="1980"/>
        <w:gridCol w:w="2160"/>
        <w:gridCol w:w="23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750" w:type="dxa"/>
            <w:tcBorders>
              <w:top w:val="single" w:color="auto" w:sz="12" w:space="0"/>
            </w:tcBorders>
            <w:noWrap/>
            <w:vAlign w:val="center"/>
          </w:tcPr>
          <w:p>
            <w:pPr>
              <w:jc w:val="center"/>
              <w:rPr>
                <w:rFonts w:ascii="仿宋_GB2312" w:eastAsia="仿宋_GB2312"/>
                <w:sz w:val="24"/>
                <w:szCs w:val="24"/>
              </w:rPr>
            </w:pPr>
            <w:r>
              <w:rPr>
                <w:rFonts w:hint="eastAsia" w:ascii="仿宋_GB2312" w:eastAsia="仿宋_GB2312" w:cs="仿宋_GB2312"/>
                <w:sz w:val="24"/>
                <w:szCs w:val="24"/>
              </w:rPr>
              <w:t>序号</w:t>
            </w:r>
          </w:p>
        </w:tc>
        <w:tc>
          <w:tcPr>
            <w:tcW w:w="2160" w:type="dxa"/>
            <w:tcBorders>
              <w:top w:val="single" w:color="auto" w:sz="12" w:space="0"/>
            </w:tcBorders>
            <w:vAlign w:val="center"/>
          </w:tcPr>
          <w:p>
            <w:pPr>
              <w:ind w:right="400" w:firstLine="240" w:firstLineChars="100"/>
              <w:jc w:val="center"/>
              <w:rPr>
                <w:rFonts w:ascii="仿宋_GB2312" w:hAnsi="宋体" w:eastAsia="仿宋_GB2312"/>
                <w:b/>
                <w:bCs/>
                <w:kern w:val="0"/>
                <w:sz w:val="24"/>
                <w:szCs w:val="24"/>
              </w:rPr>
            </w:pPr>
            <w:r>
              <w:rPr>
                <w:rFonts w:hint="eastAsia" w:ascii="仿宋_GB2312" w:hAnsi="宋体" w:eastAsia="仿宋_GB2312" w:cs="仿宋_GB2312"/>
                <w:kern w:val="0"/>
                <w:sz w:val="24"/>
                <w:szCs w:val="24"/>
              </w:rPr>
              <w:t>课程情况</w:t>
            </w:r>
          </w:p>
          <w:p>
            <w:pPr>
              <w:tabs>
                <w:tab w:val="left" w:pos="2307"/>
              </w:tabs>
              <w:ind w:right="72"/>
              <w:rPr>
                <w:rFonts w:ascii="仿宋_GB2312" w:hAnsi="宋体" w:eastAsia="仿宋_GB2312"/>
                <w:kern w:val="0"/>
                <w:sz w:val="18"/>
                <w:szCs w:val="18"/>
              </w:rPr>
            </w:pPr>
            <w:r>
              <w:rPr>
                <w:rFonts w:hint="eastAsia" w:ascii="仿宋_GB2312" w:hAnsi="宋体" w:eastAsia="仿宋_GB2312" w:cs="仿宋_GB2312"/>
                <w:kern w:val="0"/>
                <w:sz w:val="18"/>
                <w:szCs w:val="18"/>
              </w:rPr>
              <w:t>（课程名称、上课班级等）</w:t>
            </w:r>
          </w:p>
        </w:tc>
        <w:tc>
          <w:tcPr>
            <w:tcW w:w="1980" w:type="dxa"/>
            <w:tcBorders>
              <w:top w:val="single" w:color="auto" w:sz="12"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授课教师情况</w:t>
            </w:r>
          </w:p>
          <w:p>
            <w:pPr>
              <w:jc w:val="center"/>
              <w:rPr>
                <w:rFonts w:ascii="仿宋_GB2312" w:hAnsi="宋体" w:eastAsia="仿宋_GB2312"/>
                <w:sz w:val="24"/>
                <w:szCs w:val="24"/>
              </w:rPr>
            </w:pPr>
            <w:r>
              <w:rPr>
                <w:rFonts w:hint="eastAsia" w:ascii="仿宋_GB2312" w:hAnsi="宋体" w:eastAsia="仿宋_GB2312" w:cs="仿宋_GB2312"/>
                <w:kern w:val="0"/>
                <w:sz w:val="18"/>
                <w:szCs w:val="18"/>
              </w:rPr>
              <w:t>（姓名、年龄、职称）</w:t>
            </w:r>
          </w:p>
        </w:tc>
        <w:tc>
          <w:tcPr>
            <w:tcW w:w="2160" w:type="dxa"/>
            <w:tcBorders>
              <w:top w:val="single" w:color="auto" w:sz="12"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考查形式</w:t>
            </w:r>
          </w:p>
          <w:p>
            <w:pPr>
              <w:jc w:val="center"/>
              <w:rPr>
                <w:rFonts w:ascii="仿宋_GB2312" w:hAnsi="宋体" w:eastAsia="仿宋_GB2312"/>
                <w:sz w:val="24"/>
                <w:szCs w:val="24"/>
              </w:rPr>
            </w:pPr>
            <w:r>
              <w:rPr>
                <w:rFonts w:hint="eastAsia" w:ascii="仿宋_GB2312" w:hAnsi="宋体" w:eastAsia="仿宋_GB2312" w:cs="仿宋_GB2312"/>
                <w:kern w:val="0"/>
                <w:sz w:val="18"/>
                <w:szCs w:val="18"/>
              </w:rPr>
              <w:t>（听课、看课等）</w:t>
            </w:r>
          </w:p>
        </w:tc>
        <w:tc>
          <w:tcPr>
            <w:tcW w:w="2301" w:type="dxa"/>
            <w:tcBorders>
              <w:top w:val="single" w:color="auto" w:sz="12" w:space="0"/>
            </w:tcBorders>
            <w:vAlign w:val="center"/>
          </w:tcPr>
          <w:p>
            <w:pPr>
              <w:widowControl/>
              <w:tabs>
                <w:tab w:val="left" w:pos="1974"/>
              </w:tabs>
              <w:ind w:right="72"/>
              <w:jc w:val="center"/>
              <w:rPr>
                <w:rFonts w:ascii="仿宋_GB2312" w:hAnsi="宋体" w:eastAsia="仿宋_GB2312"/>
                <w:kern w:val="0"/>
                <w:sz w:val="24"/>
                <w:szCs w:val="24"/>
              </w:rPr>
            </w:pPr>
            <w:r>
              <w:rPr>
                <w:rFonts w:hint="eastAsia" w:ascii="仿宋_GB2312" w:hAnsi="宋体" w:eastAsia="仿宋_GB2312" w:cs="仿宋_GB2312"/>
                <w:kern w:val="0"/>
                <w:sz w:val="24"/>
                <w:szCs w:val="24"/>
              </w:rPr>
              <w:t>总体评价</w:t>
            </w:r>
          </w:p>
          <w:p>
            <w:pPr>
              <w:widowControl/>
              <w:tabs>
                <w:tab w:val="left" w:pos="1974"/>
              </w:tabs>
              <w:ind w:right="72"/>
              <w:rPr>
                <w:rFonts w:ascii="仿宋_GB2312" w:hAnsi="宋体" w:eastAsia="仿宋_GB2312"/>
                <w:kern w:val="0"/>
              </w:rPr>
            </w:pPr>
            <w:r>
              <w:rPr>
                <w:rFonts w:hint="eastAsia" w:ascii="仿宋_GB2312" w:hAnsi="宋体" w:eastAsia="仿宋_GB2312" w:cs="仿宋_GB2312"/>
                <w:kern w:val="0"/>
                <w:sz w:val="18"/>
                <w:szCs w:val="18"/>
              </w:rPr>
              <w:t>（请填写“好”、“较好”、“一般”、“较差”）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noWrap/>
            <w:vAlign w:val="center"/>
          </w:tcPr>
          <w:p>
            <w:pPr>
              <w:jc w:val="center"/>
              <w:rPr>
                <w:rFonts w:ascii="仿宋_GB2312" w:eastAsia="仿宋_GB2312"/>
                <w:sz w:val="24"/>
                <w:szCs w:val="24"/>
              </w:rPr>
            </w:pPr>
            <w:r>
              <w:rPr>
                <w:rFonts w:ascii="仿宋_GB2312" w:eastAsia="仿宋_GB2312" w:cs="仿宋_GB2312"/>
                <w:sz w:val="24"/>
                <w:szCs w:val="24"/>
              </w:rPr>
              <w:t>1</w:t>
            </w:r>
          </w:p>
        </w:tc>
        <w:tc>
          <w:tcPr>
            <w:tcW w:w="2160" w:type="dxa"/>
            <w:vAlign w:val="center"/>
          </w:tcPr>
          <w:p>
            <w:pPr>
              <w:rPr>
                <w:rFonts w:ascii="仿宋_GB2312" w:eastAsia="仿宋_GB2312"/>
                <w:color w:val="000000"/>
                <w:kern w:val="0"/>
                <w:sz w:val="24"/>
                <w:szCs w:val="24"/>
              </w:rPr>
            </w:pPr>
          </w:p>
        </w:tc>
        <w:tc>
          <w:tcPr>
            <w:tcW w:w="1980" w:type="dxa"/>
            <w:vAlign w:val="center"/>
          </w:tcPr>
          <w:p>
            <w:pPr>
              <w:widowControl/>
              <w:ind w:right="400" w:firstLine="240" w:firstLineChars="100"/>
              <w:rPr>
                <w:rFonts w:ascii="仿宋_GB2312" w:hAnsi="宋体" w:eastAsia="仿宋_GB2312"/>
                <w:kern w:val="0"/>
                <w:sz w:val="24"/>
                <w:szCs w:val="24"/>
              </w:rPr>
            </w:pPr>
          </w:p>
        </w:tc>
        <w:tc>
          <w:tcPr>
            <w:tcW w:w="2160" w:type="dxa"/>
            <w:vAlign w:val="center"/>
          </w:tcPr>
          <w:p>
            <w:pPr>
              <w:widowControl/>
              <w:ind w:right="400" w:firstLine="240" w:firstLineChars="100"/>
              <w:rPr>
                <w:rFonts w:ascii="仿宋_GB2312" w:hAnsi="宋体" w:eastAsia="仿宋_GB2312"/>
                <w:kern w:val="0"/>
                <w:sz w:val="24"/>
                <w:szCs w:val="24"/>
              </w:rPr>
            </w:pPr>
          </w:p>
        </w:tc>
        <w:tc>
          <w:tcPr>
            <w:tcW w:w="2301" w:type="dxa"/>
            <w:vAlign w:val="center"/>
          </w:tcPr>
          <w:p>
            <w:pPr>
              <w:widowControl/>
              <w:ind w:right="400" w:firstLine="240" w:firstLineChars="100"/>
              <w:rPr>
                <w:rFonts w:ascii="仿宋_GB2312" w:hAnsi="宋体"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noWrap/>
            <w:vAlign w:val="center"/>
          </w:tcPr>
          <w:p>
            <w:pPr>
              <w:jc w:val="center"/>
              <w:rPr>
                <w:rFonts w:ascii="仿宋_GB2312" w:eastAsia="仿宋_GB2312"/>
                <w:sz w:val="24"/>
                <w:szCs w:val="24"/>
              </w:rPr>
            </w:pPr>
            <w:r>
              <w:rPr>
                <w:rFonts w:ascii="仿宋_GB2312" w:eastAsia="仿宋_GB2312" w:cs="仿宋_GB2312"/>
                <w:sz w:val="24"/>
                <w:szCs w:val="24"/>
              </w:rPr>
              <w:t>2</w:t>
            </w:r>
          </w:p>
        </w:tc>
        <w:tc>
          <w:tcPr>
            <w:tcW w:w="2160" w:type="dxa"/>
            <w:vAlign w:val="center"/>
          </w:tcPr>
          <w:p>
            <w:pPr>
              <w:rPr>
                <w:rFonts w:ascii="仿宋_GB2312" w:eastAsia="仿宋_GB2312"/>
                <w:color w:val="000000"/>
                <w:kern w:val="0"/>
                <w:sz w:val="24"/>
                <w:szCs w:val="24"/>
              </w:rPr>
            </w:pPr>
          </w:p>
        </w:tc>
        <w:tc>
          <w:tcPr>
            <w:tcW w:w="1980" w:type="dxa"/>
            <w:vAlign w:val="center"/>
          </w:tcPr>
          <w:p>
            <w:pPr>
              <w:widowControl/>
              <w:ind w:right="400" w:firstLine="240" w:firstLineChars="100"/>
              <w:rPr>
                <w:rFonts w:ascii="仿宋_GB2312" w:hAnsi="宋体" w:eastAsia="仿宋_GB2312"/>
                <w:kern w:val="0"/>
                <w:sz w:val="24"/>
                <w:szCs w:val="24"/>
              </w:rPr>
            </w:pPr>
          </w:p>
        </w:tc>
        <w:tc>
          <w:tcPr>
            <w:tcW w:w="2160" w:type="dxa"/>
            <w:vAlign w:val="center"/>
          </w:tcPr>
          <w:p>
            <w:pPr>
              <w:widowControl/>
              <w:ind w:right="400" w:firstLine="240" w:firstLineChars="100"/>
              <w:rPr>
                <w:rFonts w:ascii="仿宋_GB2312" w:hAnsi="宋体" w:eastAsia="仿宋_GB2312"/>
                <w:kern w:val="0"/>
                <w:sz w:val="24"/>
                <w:szCs w:val="24"/>
              </w:rPr>
            </w:pPr>
          </w:p>
        </w:tc>
        <w:tc>
          <w:tcPr>
            <w:tcW w:w="2301" w:type="dxa"/>
            <w:vAlign w:val="center"/>
          </w:tcPr>
          <w:p>
            <w:pPr>
              <w:widowControl/>
              <w:ind w:right="400" w:firstLine="240" w:firstLineChars="100"/>
              <w:rPr>
                <w:rFonts w:ascii="仿宋_GB2312" w:hAnsi="宋体"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noWrap/>
            <w:vAlign w:val="center"/>
          </w:tcPr>
          <w:p>
            <w:pPr>
              <w:jc w:val="center"/>
              <w:rPr>
                <w:rFonts w:ascii="仿宋_GB2312" w:eastAsia="仿宋_GB2312" w:cs="仿宋_GB2312"/>
                <w:sz w:val="24"/>
                <w:szCs w:val="24"/>
              </w:rPr>
            </w:pPr>
            <w:r>
              <w:rPr>
                <w:rFonts w:ascii="仿宋_GB2312" w:eastAsia="仿宋_GB2312" w:cs="仿宋_GB2312"/>
                <w:sz w:val="24"/>
                <w:szCs w:val="24"/>
              </w:rPr>
              <w:t>3</w:t>
            </w:r>
          </w:p>
        </w:tc>
        <w:tc>
          <w:tcPr>
            <w:tcW w:w="2160" w:type="dxa"/>
            <w:vAlign w:val="center"/>
          </w:tcPr>
          <w:p>
            <w:pPr>
              <w:rPr>
                <w:rFonts w:ascii="仿宋_GB2312" w:eastAsia="仿宋_GB2312"/>
                <w:color w:val="000000"/>
                <w:kern w:val="0"/>
                <w:sz w:val="24"/>
                <w:szCs w:val="24"/>
              </w:rPr>
            </w:pPr>
          </w:p>
        </w:tc>
        <w:tc>
          <w:tcPr>
            <w:tcW w:w="1980" w:type="dxa"/>
            <w:vAlign w:val="center"/>
          </w:tcPr>
          <w:p>
            <w:pPr>
              <w:widowControl/>
              <w:ind w:right="400" w:firstLine="240" w:firstLineChars="100"/>
              <w:rPr>
                <w:rFonts w:ascii="仿宋_GB2312" w:hAnsi="宋体" w:eastAsia="仿宋_GB2312"/>
                <w:kern w:val="0"/>
                <w:sz w:val="24"/>
                <w:szCs w:val="24"/>
              </w:rPr>
            </w:pPr>
          </w:p>
        </w:tc>
        <w:tc>
          <w:tcPr>
            <w:tcW w:w="2160" w:type="dxa"/>
            <w:vAlign w:val="center"/>
          </w:tcPr>
          <w:p>
            <w:pPr>
              <w:widowControl/>
              <w:ind w:right="400" w:firstLine="240" w:firstLineChars="100"/>
              <w:rPr>
                <w:rFonts w:ascii="仿宋_GB2312" w:hAnsi="宋体" w:eastAsia="仿宋_GB2312"/>
                <w:kern w:val="0"/>
                <w:sz w:val="24"/>
                <w:szCs w:val="24"/>
              </w:rPr>
            </w:pPr>
          </w:p>
        </w:tc>
        <w:tc>
          <w:tcPr>
            <w:tcW w:w="2301" w:type="dxa"/>
            <w:vAlign w:val="center"/>
          </w:tcPr>
          <w:p>
            <w:pPr>
              <w:widowControl/>
              <w:ind w:right="400" w:firstLine="240" w:firstLineChars="100"/>
              <w:rPr>
                <w:rFonts w:ascii="仿宋_GB2312" w:hAnsi="宋体"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noWrap/>
            <w:vAlign w:val="center"/>
          </w:tcPr>
          <w:p>
            <w:pPr>
              <w:jc w:val="center"/>
              <w:rPr>
                <w:rFonts w:ascii="仿宋_GB2312" w:eastAsia="仿宋_GB2312"/>
                <w:sz w:val="24"/>
                <w:szCs w:val="24"/>
              </w:rPr>
            </w:pPr>
            <w:r>
              <w:rPr>
                <w:rFonts w:ascii="仿宋_GB2312" w:eastAsia="仿宋_GB2312" w:cs="仿宋_GB2312"/>
                <w:sz w:val="24"/>
                <w:szCs w:val="24"/>
              </w:rPr>
              <w:t>4</w:t>
            </w:r>
          </w:p>
        </w:tc>
        <w:tc>
          <w:tcPr>
            <w:tcW w:w="2160" w:type="dxa"/>
            <w:vAlign w:val="center"/>
          </w:tcPr>
          <w:p>
            <w:pPr>
              <w:rPr>
                <w:rFonts w:ascii="仿宋_GB2312" w:eastAsia="仿宋_GB2312"/>
                <w:color w:val="000000"/>
                <w:kern w:val="0"/>
                <w:sz w:val="24"/>
                <w:szCs w:val="24"/>
              </w:rPr>
            </w:pPr>
          </w:p>
        </w:tc>
        <w:tc>
          <w:tcPr>
            <w:tcW w:w="1980" w:type="dxa"/>
            <w:vAlign w:val="center"/>
          </w:tcPr>
          <w:p>
            <w:pPr>
              <w:widowControl/>
              <w:ind w:right="400" w:firstLine="240" w:firstLineChars="100"/>
              <w:rPr>
                <w:rFonts w:ascii="仿宋_GB2312" w:hAnsi="宋体" w:eastAsia="仿宋_GB2312"/>
                <w:kern w:val="0"/>
                <w:sz w:val="24"/>
                <w:szCs w:val="24"/>
              </w:rPr>
            </w:pPr>
          </w:p>
        </w:tc>
        <w:tc>
          <w:tcPr>
            <w:tcW w:w="2160" w:type="dxa"/>
            <w:vAlign w:val="center"/>
          </w:tcPr>
          <w:p>
            <w:pPr>
              <w:widowControl/>
              <w:ind w:right="400" w:firstLine="240" w:firstLineChars="100"/>
              <w:rPr>
                <w:rFonts w:ascii="仿宋_GB2312" w:hAnsi="宋体" w:eastAsia="仿宋_GB2312"/>
                <w:kern w:val="0"/>
                <w:sz w:val="24"/>
                <w:szCs w:val="24"/>
              </w:rPr>
            </w:pPr>
          </w:p>
        </w:tc>
        <w:tc>
          <w:tcPr>
            <w:tcW w:w="2301" w:type="dxa"/>
            <w:vAlign w:val="center"/>
          </w:tcPr>
          <w:p>
            <w:pPr>
              <w:widowControl/>
              <w:ind w:right="400" w:firstLine="240" w:firstLineChars="100"/>
              <w:rPr>
                <w:rFonts w:ascii="仿宋_GB2312" w:hAnsi="宋体"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noWrap/>
            <w:vAlign w:val="center"/>
          </w:tcPr>
          <w:p>
            <w:pPr>
              <w:jc w:val="center"/>
              <w:rPr>
                <w:rFonts w:ascii="仿宋_GB2312" w:eastAsia="仿宋_GB2312" w:cs="仿宋_GB2312"/>
                <w:sz w:val="24"/>
                <w:szCs w:val="24"/>
              </w:rPr>
            </w:pPr>
            <w:r>
              <w:rPr>
                <w:rFonts w:ascii="仿宋_GB2312" w:eastAsia="仿宋_GB2312" w:cs="仿宋_GB2312"/>
                <w:sz w:val="24"/>
                <w:szCs w:val="24"/>
              </w:rPr>
              <w:t>5</w:t>
            </w:r>
          </w:p>
        </w:tc>
        <w:tc>
          <w:tcPr>
            <w:tcW w:w="2160" w:type="dxa"/>
            <w:vAlign w:val="center"/>
          </w:tcPr>
          <w:p>
            <w:pPr>
              <w:rPr>
                <w:rFonts w:ascii="仿宋_GB2312" w:eastAsia="仿宋_GB2312"/>
                <w:color w:val="000000"/>
                <w:kern w:val="0"/>
                <w:sz w:val="24"/>
                <w:szCs w:val="24"/>
              </w:rPr>
            </w:pPr>
          </w:p>
        </w:tc>
        <w:tc>
          <w:tcPr>
            <w:tcW w:w="1980" w:type="dxa"/>
            <w:vAlign w:val="center"/>
          </w:tcPr>
          <w:p>
            <w:pPr>
              <w:widowControl/>
              <w:ind w:right="400" w:firstLine="240" w:firstLineChars="100"/>
              <w:rPr>
                <w:rFonts w:ascii="仿宋_GB2312" w:hAnsi="宋体" w:eastAsia="仿宋_GB2312"/>
                <w:kern w:val="0"/>
                <w:sz w:val="24"/>
                <w:szCs w:val="24"/>
              </w:rPr>
            </w:pPr>
          </w:p>
        </w:tc>
        <w:tc>
          <w:tcPr>
            <w:tcW w:w="2160" w:type="dxa"/>
            <w:vAlign w:val="center"/>
          </w:tcPr>
          <w:p>
            <w:pPr>
              <w:widowControl/>
              <w:ind w:right="400" w:firstLine="240" w:firstLineChars="100"/>
              <w:rPr>
                <w:rFonts w:ascii="仿宋_GB2312" w:hAnsi="宋体" w:eastAsia="仿宋_GB2312"/>
                <w:kern w:val="0"/>
                <w:sz w:val="24"/>
                <w:szCs w:val="24"/>
              </w:rPr>
            </w:pPr>
          </w:p>
        </w:tc>
        <w:tc>
          <w:tcPr>
            <w:tcW w:w="2301" w:type="dxa"/>
            <w:vAlign w:val="center"/>
          </w:tcPr>
          <w:p>
            <w:pPr>
              <w:widowControl/>
              <w:ind w:right="400" w:firstLine="240" w:firstLineChars="100"/>
              <w:rPr>
                <w:rFonts w:ascii="仿宋_GB2312" w:hAnsi="宋体"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0" w:type="dxa"/>
            <w:noWrap/>
            <w:vAlign w:val="center"/>
          </w:tcPr>
          <w:p>
            <w:pPr>
              <w:jc w:val="center"/>
              <w:rPr>
                <w:rFonts w:ascii="仿宋_GB2312" w:eastAsia="仿宋_GB2312"/>
                <w:sz w:val="24"/>
                <w:szCs w:val="24"/>
              </w:rPr>
            </w:pPr>
            <w:r>
              <w:rPr>
                <w:rFonts w:ascii="仿宋_GB2312" w:eastAsia="仿宋_GB2312" w:cs="仿宋_GB2312"/>
                <w:sz w:val="24"/>
                <w:szCs w:val="24"/>
              </w:rPr>
              <w:t>6</w:t>
            </w:r>
          </w:p>
        </w:tc>
        <w:tc>
          <w:tcPr>
            <w:tcW w:w="2160" w:type="dxa"/>
            <w:vAlign w:val="center"/>
          </w:tcPr>
          <w:p>
            <w:pPr>
              <w:rPr>
                <w:rFonts w:ascii="仿宋_GB2312" w:eastAsia="仿宋_GB2312"/>
                <w:kern w:val="0"/>
                <w:sz w:val="24"/>
                <w:szCs w:val="24"/>
              </w:rPr>
            </w:pPr>
          </w:p>
        </w:tc>
        <w:tc>
          <w:tcPr>
            <w:tcW w:w="1980" w:type="dxa"/>
            <w:vAlign w:val="center"/>
          </w:tcPr>
          <w:p>
            <w:pPr>
              <w:widowControl/>
              <w:ind w:right="400" w:firstLine="240" w:firstLineChars="100"/>
              <w:rPr>
                <w:rFonts w:ascii="仿宋_GB2312" w:hAnsi="宋体" w:eastAsia="仿宋_GB2312"/>
                <w:kern w:val="0"/>
                <w:sz w:val="24"/>
                <w:szCs w:val="24"/>
              </w:rPr>
            </w:pPr>
          </w:p>
        </w:tc>
        <w:tc>
          <w:tcPr>
            <w:tcW w:w="2160" w:type="dxa"/>
            <w:vAlign w:val="center"/>
          </w:tcPr>
          <w:p>
            <w:pPr>
              <w:widowControl/>
              <w:ind w:right="400" w:firstLine="240" w:firstLineChars="100"/>
              <w:rPr>
                <w:rFonts w:ascii="仿宋_GB2312" w:hAnsi="宋体" w:eastAsia="仿宋_GB2312"/>
                <w:kern w:val="0"/>
                <w:sz w:val="24"/>
                <w:szCs w:val="24"/>
              </w:rPr>
            </w:pPr>
          </w:p>
        </w:tc>
        <w:tc>
          <w:tcPr>
            <w:tcW w:w="2301" w:type="dxa"/>
            <w:vAlign w:val="center"/>
          </w:tcPr>
          <w:p>
            <w:pPr>
              <w:widowControl/>
              <w:ind w:right="400" w:firstLine="240" w:firstLineChars="100"/>
              <w:rPr>
                <w:rFonts w:ascii="仿宋_GB2312" w:hAnsi="宋体" w:eastAsia="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5" w:hRule="atLeast"/>
          <w:jc w:val="center"/>
        </w:trPr>
        <w:tc>
          <w:tcPr>
            <w:tcW w:w="9351" w:type="dxa"/>
            <w:gridSpan w:val="5"/>
            <w:tcBorders>
              <w:bottom w:val="single" w:color="auto" w:sz="12" w:space="0"/>
            </w:tcBorders>
            <w:noWrap/>
          </w:tcPr>
          <w:p>
            <w:pP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课堂教学总体情况存在的主要问题及建议：</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tabs>
          <w:tab w:val="left" w:pos="1545"/>
        </w:tabs>
        <w:ind w:firstLine="180" w:firstLineChars="100"/>
        <w:jc w:val="center"/>
        <w:rPr>
          <w:rFonts w:ascii="仿宋_GB2312" w:hAnsi="宋体" w:eastAsia="仿宋_GB2312"/>
          <w:sz w:val="18"/>
          <w:szCs w:val="18"/>
        </w:rPr>
      </w:pPr>
      <w:r>
        <w:rPr>
          <w:rFonts w:hint="eastAsia" w:ascii="仿宋_GB2312" w:hAnsi="宋体" w:eastAsia="仿宋_GB2312" w:cs="仿宋_GB2312"/>
          <w:sz w:val="18"/>
          <w:szCs w:val="18"/>
        </w:rPr>
        <w:t>（页面不足时可加页）</w:t>
      </w:r>
    </w:p>
    <w:p>
      <w:pPr>
        <w:tabs>
          <w:tab w:val="left" w:pos="1545"/>
        </w:tabs>
        <w:ind w:firstLine="240" w:firstLineChars="100"/>
        <w:jc w:val="center"/>
        <w:rPr>
          <w:rFonts w:ascii="仿宋_GB2312" w:hAnsi="宋体" w:eastAsia="仿宋_GB2312"/>
          <w:sz w:val="24"/>
          <w:szCs w:val="24"/>
        </w:rPr>
      </w:pPr>
    </w:p>
    <w:p>
      <w:pPr>
        <w:ind w:firstLine="236" w:firstLineChars="98"/>
      </w:pPr>
      <w:r>
        <w:rPr>
          <w:rFonts w:hint="eastAsia" w:ascii="仿宋_GB2312" w:hAnsi="宋体" w:eastAsia="仿宋_GB2312" w:cs="仿宋_GB2312"/>
          <w:b/>
          <w:bCs/>
          <w:sz w:val="24"/>
          <w:szCs w:val="24"/>
        </w:rPr>
        <w:t>专家（签字）：</w:t>
      </w:r>
      <w:r>
        <w:rPr>
          <w:rFonts w:ascii="仿宋_GB2312" w:hAnsi="宋体" w:eastAsia="仿宋_GB2312" w:cs="仿宋_GB2312"/>
          <w:b/>
          <w:bCs/>
          <w:sz w:val="24"/>
          <w:szCs w:val="24"/>
          <w:u w:val="single"/>
        </w:rPr>
        <w:t xml:space="preserve">            </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年</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月</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日</w:t>
      </w:r>
    </w:p>
    <w:p>
      <w:pPr>
        <w:spacing w:line="500" w:lineRule="exact"/>
        <w:rPr>
          <w:rFonts w:ascii="仿宋" w:hAnsi="仿宋" w:eastAsia="仿宋"/>
          <w:b/>
          <w:bCs/>
          <w:sz w:val="28"/>
          <w:szCs w:val="28"/>
        </w:rPr>
      </w:pPr>
      <w:r>
        <w:rPr>
          <w:rFonts w:hint="eastAsia" w:ascii="仿宋" w:hAnsi="仿宋" w:eastAsia="仿宋"/>
          <w:b/>
          <w:bCs/>
          <w:sz w:val="28"/>
          <w:szCs w:val="28"/>
        </w:rPr>
        <w:t>表4：</w:t>
      </w:r>
    </w:p>
    <w:p>
      <w:pPr>
        <w:spacing w:line="500" w:lineRule="exact"/>
        <w:ind w:firstLine="562" w:firstLineChars="200"/>
        <w:jc w:val="center"/>
        <w:rPr>
          <w:rFonts w:ascii="仿宋" w:hAnsi="仿宋" w:eastAsia="仿宋"/>
          <w:b/>
          <w:bCs/>
          <w:sz w:val="28"/>
          <w:szCs w:val="28"/>
        </w:rPr>
      </w:pPr>
      <w:r>
        <w:rPr>
          <w:rFonts w:hint="eastAsia" w:ascii="仿宋" w:hAnsi="仿宋" w:eastAsia="仿宋"/>
          <w:b/>
          <w:bCs/>
          <w:sz w:val="28"/>
          <w:szCs w:val="28"/>
        </w:rPr>
        <w:t>毕业论文（设计）抽查表（样表）</w:t>
      </w:r>
    </w:p>
    <w:p>
      <w:pPr>
        <w:jc w:val="center"/>
        <w:rPr>
          <w:rFonts w:ascii="楷体_GB2312" w:eastAsia="楷体_GB2312"/>
          <w:b/>
          <w:bCs/>
          <w:sz w:val="28"/>
          <w:szCs w:val="28"/>
        </w:rPr>
      </w:pPr>
    </w:p>
    <w:tbl>
      <w:tblPr>
        <w:tblStyle w:val="13"/>
        <w:tblW w:w="96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4"/>
        <w:gridCol w:w="714"/>
        <w:gridCol w:w="902"/>
        <w:gridCol w:w="391"/>
        <w:gridCol w:w="920"/>
        <w:gridCol w:w="897"/>
        <w:gridCol w:w="578"/>
        <w:gridCol w:w="1218"/>
        <w:gridCol w:w="225"/>
        <w:gridCol w:w="283"/>
        <w:gridCol w:w="353"/>
        <w:gridCol w:w="641"/>
        <w:gridCol w:w="593"/>
        <w:gridCol w:w="598"/>
        <w:gridCol w:w="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exact"/>
          <w:jc w:val="center"/>
        </w:trPr>
        <w:tc>
          <w:tcPr>
            <w:tcW w:w="2681" w:type="dxa"/>
            <w:gridSpan w:val="4"/>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sz w:val="24"/>
              </w:rPr>
            </w:pPr>
            <w:r>
              <w:rPr>
                <w:sz w:val="24"/>
              </w:rPr>
              <w:t>学院</w:t>
            </w:r>
          </w:p>
        </w:tc>
        <w:tc>
          <w:tcPr>
            <w:tcW w:w="2395" w:type="dxa"/>
            <w:gridSpan w:val="3"/>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sz w:val="24"/>
              </w:rPr>
            </w:pPr>
          </w:p>
        </w:tc>
        <w:tc>
          <w:tcPr>
            <w:tcW w:w="1443" w:type="dxa"/>
            <w:gridSpan w:val="2"/>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sz w:val="24"/>
              </w:rPr>
            </w:pPr>
            <w:r>
              <w:rPr>
                <w:sz w:val="24"/>
              </w:rPr>
              <w:t>专业/班级</w:t>
            </w:r>
          </w:p>
        </w:tc>
        <w:tc>
          <w:tcPr>
            <w:tcW w:w="3119" w:type="dxa"/>
            <w:gridSpan w:val="6"/>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00" w:hRule="atLeast"/>
          <w:jc w:val="center"/>
        </w:trPr>
        <w:tc>
          <w:tcPr>
            <w:tcW w:w="2681" w:type="dxa"/>
            <w:gridSpan w:val="4"/>
            <w:tcBorders>
              <w:top w:val="single" w:color="auto" w:sz="6" w:space="0"/>
              <w:left w:val="single" w:color="auto" w:sz="6" w:space="0"/>
              <w:right w:val="single" w:color="auto" w:sz="6" w:space="0"/>
            </w:tcBorders>
            <w:tcMar>
              <w:left w:w="57" w:type="dxa"/>
              <w:right w:w="57" w:type="dxa"/>
            </w:tcMar>
            <w:vAlign w:val="center"/>
          </w:tcPr>
          <w:p>
            <w:pPr>
              <w:spacing w:line="420" w:lineRule="exact"/>
              <w:jc w:val="center"/>
              <w:rPr>
                <w:sz w:val="24"/>
              </w:rPr>
            </w:pPr>
            <w:r>
              <w:rPr>
                <w:rFonts w:hint="eastAsia"/>
                <w:sz w:val="24"/>
              </w:rPr>
              <w:t>涉及到的</w:t>
            </w:r>
            <w:r>
              <w:rPr>
                <w:sz w:val="24"/>
              </w:rPr>
              <w:t>指导教师</w:t>
            </w:r>
            <w:r>
              <w:rPr>
                <w:rFonts w:hint="eastAsia"/>
                <w:sz w:val="24"/>
              </w:rPr>
              <w:t>姓名</w:t>
            </w:r>
          </w:p>
        </w:tc>
        <w:tc>
          <w:tcPr>
            <w:tcW w:w="6957" w:type="dxa"/>
            <w:gridSpan w:val="11"/>
            <w:tcBorders>
              <w:top w:val="single" w:color="auto" w:sz="6" w:space="0"/>
              <w:left w:val="single" w:color="auto" w:sz="6" w:space="0"/>
              <w:right w:val="single" w:color="auto" w:sz="6" w:space="0"/>
            </w:tcBorders>
            <w:tcMar>
              <w:left w:w="57" w:type="dxa"/>
              <w:right w:w="57" w:type="dxa"/>
            </w:tcMar>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6" w:hRule="exact"/>
          <w:jc w:val="center"/>
        </w:trPr>
        <w:tc>
          <w:tcPr>
            <w:tcW w:w="7155" w:type="dxa"/>
            <w:gridSpan w:val="11"/>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sz w:val="24"/>
              </w:rPr>
            </w:pPr>
            <w:r>
              <w:rPr>
                <w:sz w:val="24"/>
              </w:rPr>
              <w:t>评价指标</w:t>
            </w:r>
            <w:r>
              <w:rPr>
                <w:rFonts w:hint="eastAsia"/>
                <w:sz w:val="24"/>
              </w:rPr>
              <w:t>（</w:t>
            </w:r>
            <w:r>
              <w:rPr>
                <w:rFonts w:hint="eastAsia"/>
                <w:i/>
                <w:szCs w:val="21"/>
              </w:rPr>
              <w:t>对抽到论文的整体评价</w:t>
            </w:r>
            <w:r>
              <w:rPr>
                <w:rFonts w:hint="eastAsia"/>
                <w:sz w:val="24"/>
              </w:rPr>
              <w:t>）</w:t>
            </w:r>
          </w:p>
        </w:tc>
        <w:tc>
          <w:tcPr>
            <w:tcW w:w="641"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2"/>
              </w:rPr>
            </w:pPr>
            <w:r>
              <w:rPr>
                <w:kern w:val="0"/>
                <w:sz w:val="22"/>
              </w:rPr>
              <w:t>A优</w:t>
            </w:r>
          </w:p>
        </w:tc>
        <w:tc>
          <w:tcPr>
            <w:tcW w:w="593"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2"/>
              </w:rPr>
            </w:pPr>
            <w:r>
              <w:rPr>
                <w:kern w:val="0"/>
                <w:sz w:val="22"/>
              </w:rPr>
              <w:t>B良</w:t>
            </w:r>
          </w:p>
        </w:tc>
        <w:tc>
          <w:tcPr>
            <w:tcW w:w="598"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2"/>
              </w:rPr>
            </w:pPr>
            <w:r>
              <w:rPr>
                <w:kern w:val="0"/>
                <w:sz w:val="22"/>
              </w:rPr>
              <w:t>C中</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2"/>
              </w:rPr>
            </w:pPr>
            <w:r>
              <w:rPr>
                <w:kern w:val="0"/>
                <w:sz w:val="22"/>
              </w:rPr>
              <w:t>D差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restart"/>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r>
              <w:rPr>
                <w:rFonts w:eastAsia="仿宋_GB2312"/>
                <w:szCs w:val="21"/>
              </w:rPr>
              <w:t>选题</w:t>
            </w:r>
          </w:p>
        </w:tc>
        <w:tc>
          <w:tcPr>
            <w:tcW w:w="6481" w:type="dxa"/>
            <w:gridSpan w:val="10"/>
            <w:tcBorders>
              <w:top w:val="single" w:color="auto" w:sz="6" w:space="0"/>
              <w:left w:val="single" w:color="auto" w:sz="6" w:space="0"/>
              <w:bottom w:val="single" w:color="auto" w:sz="6" w:space="0"/>
              <w:right w:val="single" w:color="auto" w:sz="6" w:space="0"/>
            </w:tcBorders>
            <w:vAlign w:val="center"/>
          </w:tcPr>
          <w:p>
            <w:pPr>
              <w:spacing w:line="420" w:lineRule="exact"/>
              <w:jc w:val="left"/>
              <w:rPr>
                <w:rFonts w:eastAsia="仿宋_GB2312"/>
                <w:szCs w:val="21"/>
              </w:rPr>
            </w:pPr>
            <w:r>
              <w:rPr>
                <w:rFonts w:eastAsia="仿宋_GB2312"/>
                <w:szCs w:val="21"/>
              </w:rPr>
              <w:t>1.符合本专业的培养目标，具有相当强的理论与实践意义。</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continue"/>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p>
        </w:tc>
        <w:tc>
          <w:tcPr>
            <w:tcW w:w="6481" w:type="dxa"/>
            <w:gridSpan w:val="10"/>
            <w:tcBorders>
              <w:top w:val="single" w:color="auto" w:sz="6" w:space="0"/>
              <w:left w:val="single" w:color="auto" w:sz="6" w:space="0"/>
              <w:bottom w:val="single" w:color="auto" w:sz="6" w:space="0"/>
              <w:right w:val="single" w:color="auto" w:sz="6" w:space="0"/>
            </w:tcBorders>
            <w:vAlign w:val="center"/>
          </w:tcPr>
          <w:p>
            <w:pPr>
              <w:spacing w:line="420" w:lineRule="exact"/>
              <w:jc w:val="left"/>
              <w:rPr>
                <w:rFonts w:eastAsia="仿宋_GB2312"/>
                <w:szCs w:val="21"/>
              </w:rPr>
            </w:pPr>
            <w:r>
              <w:rPr>
                <w:rFonts w:eastAsia="仿宋_GB2312"/>
                <w:szCs w:val="21"/>
              </w:rPr>
              <w:t>2.满足专业教学计划中对素质、能力和知识结构的要求，有一定难度，工作量适当。</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restart"/>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r>
              <w:rPr>
                <w:rFonts w:eastAsia="仿宋_GB2312"/>
                <w:szCs w:val="21"/>
              </w:rPr>
              <w:t>内容</w:t>
            </w:r>
          </w:p>
        </w:tc>
        <w:tc>
          <w:tcPr>
            <w:tcW w:w="6481" w:type="dxa"/>
            <w:gridSpan w:val="10"/>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eastAsia="仿宋_GB2312"/>
                <w:szCs w:val="21"/>
              </w:rPr>
              <w:t>3.能够综合应用所学知识，对所研究问题进行分析，研究目标明确，内容具体，且具有一定的深度。</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continue"/>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p>
        </w:tc>
        <w:tc>
          <w:tcPr>
            <w:tcW w:w="6481" w:type="dxa"/>
            <w:gridSpan w:val="10"/>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eastAsia="仿宋_GB2312"/>
                <w:szCs w:val="21"/>
              </w:rPr>
              <w:t>4.较熟练运用本专业的方法、手段和工具开展课题的分析、设计和实施工作。</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continue"/>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p>
        </w:tc>
        <w:tc>
          <w:tcPr>
            <w:tcW w:w="6481" w:type="dxa"/>
            <w:gridSpan w:val="10"/>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eastAsia="仿宋_GB2312"/>
                <w:szCs w:val="21"/>
              </w:rPr>
              <w:t>5.能够在前人工作的基础上，进行科学的分析与综合，提出问题，探索解决问题的方法、手段有一定的特色或新意，结论有新见解。</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continue"/>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p>
        </w:tc>
        <w:tc>
          <w:tcPr>
            <w:tcW w:w="6481" w:type="dxa"/>
            <w:gridSpan w:val="10"/>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eastAsia="仿宋_GB2312"/>
                <w:szCs w:val="21"/>
              </w:rPr>
              <w:t>6.结构较严谨，语言通顺，立论正确，论据充分，分析较深入，结论基本正确。</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restart"/>
            <w:tcBorders>
              <w:top w:val="single" w:color="auto" w:sz="6" w:space="0"/>
              <w:left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r>
              <w:rPr>
                <w:rFonts w:hint="eastAsia" w:eastAsia="仿宋_GB2312"/>
                <w:szCs w:val="21"/>
              </w:rPr>
              <w:t>形式</w:t>
            </w:r>
          </w:p>
        </w:tc>
        <w:tc>
          <w:tcPr>
            <w:tcW w:w="6481" w:type="dxa"/>
            <w:gridSpan w:val="10"/>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eastAsia="仿宋_GB2312"/>
                <w:szCs w:val="21"/>
              </w:rPr>
              <w:t>7.符合学校的毕设工作的规范要求，论文中的术语、格式、图表、数据、公式、引用、标注及参考文献均符合规范。</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continue"/>
            <w:tcBorders>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p>
        </w:tc>
        <w:tc>
          <w:tcPr>
            <w:tcW w:w="6481" w:type="dxa"/>
            <w:gridSpan w:val="10"/>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eastAsia="仿宋_GB2312"/>
                <w:szCs w:val="21"/>
              </w:rPr>
              <w:t>8.</w:t>
            </w:r>
            <w:r>
              <w:rPr>
                <w:rFonts w:hint="eastAsia" w:eastAsia="仿宋_GB2312"/>
                <w:szCs w:val="21"/>
              </w:rPr>
              <w:t>毕业论文（设计）</w:t>
            </w:r>
            <w:r>
              <w:rPr>
                <w:rFonts w:eastAsia="仿宋_GB2312"/>
                <w:szCs w:val="21"/>
              </w:rPr>
              <w:t>流程完整，材料齐全。</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restart"/>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r>
              <w:rPr>
                <w:rFonts w:eastAsia="仿宋_GB2312"/>
                <w:szCs w:val="21"/>
              </w:rPr>
              <w:t>指导</w:t>
            </w:r>
          </w:p>
        </w:tc>
        <w:tc>
          <w:tcPr>
            <w:tcW w:w="6481" w:type="dxa"/>
            <w:gridSpan w:val="10"/>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eastAsia="仿宋_GB2312"/>
                <w:szCs w:val="21"/>
              </w:rPr>
              <w:t>9.教师指导有记录，有检查落实。</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674" w:type="dxa"/>
            <w:vMerge w:val="continue"/>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rPr>
                <w:rFonts w:eastAsia="仿宋_GB2312"/>
                <w:szCs w:val="21"/>
              </w:rPr>
            </w:pPr>
          </w:p>
        </w:tc>
        <w:tc>
          <w:tcPr>
            <w:tcW w:w="6481" w:type="dxa"/>
            <w:gridSpan w:val="10"/>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r>
              <w:rPr>
                <w:rFonts w:eastAsia="仿宋_GB2312"/>
                <w:szCs w:val="21"/>
              </w:rPr>
              <w:t>10.答辩规范，坚持标准。</w:t>
            </w:r>
          </w:p>
        </w:tc>
        <w:tc>
          <w:tcPr>
            <w:tcW w:w="64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3"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59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388" w:type="dxa"/>
            <w:gridSpan w:val="2"/>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center"/>
            </w:pPr>
            <w:r>
              <w:rPr>
                <w:rFonts w:hint="eastAsia"/>
              </w:rPr>
              <w:t>抽查论文总数</w:t>
            </w:r>
          </w:p>
        </w:tc>
        <w:tc>
          <w:tcPr>
            <w:tcW w:w="902"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pPr>
          </w:p>
        </w:tc>
        <w:tc>
          <w:tcPr>
            <w:tcW w:w="1311"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pPr>
            <w:r>
              <w:t>合格</w:t>
            </w:r>
            <w:r>
              <w:rPr>
                <w:rFonts w:hint="eastAsia"/>
              </w:rPr>
              <w:t>论文数</w:t>
            </w:r>
          </w:p>
        </w:tc>
        <w:tc>
          <w:tcPr>
            <w:tcW w:w="89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pPr>
          </w:p>
        </w:tc>
        <w:tc>
          <w:tcPr>
            <w:tcW w:w="1796"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pPr>
            <w:r>
              <w:t>基本合格</w:t>
            </w:r>
            <w:r>
              <w:rPr>
                <w:rFonts w:hint="eastAsia"/>
              </w:rPr>
              <w:t>论文数</w:t>
            </w:r>
          </w:p>
        </w:tc>
        <w:tc>
          <w:tcPr>
            <w:tcW w:w="508"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pPr>
          </w:p>
        </w:tc>
        <w:tc>
          <w:tcPr>
            <w:tcW w:w="1587" w:type="dxa"/>
            <w:gridSpan w:val="3"/>
            <w:tcBorders>
              <w:top w:val="single" w:color="auto" w:sz="6" w:space="0"/>
              <w:left w:val="single" w:color="auto" w:sz="6" w:space="0"/>
              <w:bottom w:val="single" w:color="auto" w:sz="6" w:space="0"/>
              <w:right w:val="single" w:color="auto" w:sz="6" w:space="0"/>
            </w:tcBorders>
            <w:vAlign w:val="center"/>
          </w:tcPr>
          <w:p>
            <w:pPr>
              <w:spacing w:line="420" w:lineRule="exact"/>
              <w:jc w:val="center"/>
            </w:pPr>
            <w:r>
              <w:t>不合格</w:t>
            </w:r>
            <w:r>
              <w:rPr>
                <w:rFonts w:hint="eastAsia"/>
              </w:rPr>
              <w:t>论文数</w:t>
            </w:r>
          </w:p>
        </w:tc>
        <w:tc>
          <w:tcPr>
            <w:tcW w:w="124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9638" w:type="dxa"/>
            <w:gridSpan w:val="15"/>
            <w:tcBorders>
              <w:top w:val="single" w:color="auto" w:sz="6" w:space="0"/>
              <w:left w:val="single" w:color="auto" w:sz="6" w:space="0"/>
              <w:bottom w:val="single" w:color="auto" w:sz="6" w:space="0"/>
              <w:right w:val="single" w:color="auto" w:sz="6" w:space="0"/>
            </w:tcBorders>
            <w:tcMar>
              <w:left w:w="57" w:type="dxa"/>
              <w:right w:w="57" w:type="dxa"/>
            </w:tcMar>
            <w:vAlign w:val="center"/>
          </w:tcPr>
          <w:p>
            <w:pPr>
              <w:spacing w:line="420" w:lineRule="exact"/>
              <w:jc w:val="left"/>
              <w:rPr>
                <w:b/>
              </w:rPr>
            </w:pPr>
            <w:r>
              <w:rPr>
                <w:rFonts w:hint="eastAsia"/>
                <w:b/>
              </w:rPr>
              <w:t>总体评价：</w:t>
            </w:r>
          </w:p>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jc w:val="center"/>
            </w:pPr>
          </w:p>
          <w:p>
            <w:pPr>
              <w:spacing w:line="420" w:lineRule="exact"/>
              <w:jc w:val="center"/>
            </w:pPr>
            <w:r>
              <w:rPr>
                <w:rFonts w:hint="eastAsia" w:ascii="宋体" w:hAnsi="宋体"/>
                <w:bCs/>
                <w:sz w:val="28"/>
                <w:szCs w:val="28"/>
              </w:rPr>
              <w:t>专家（签字）：                                    年   月   日</w:t>
            </w:r>
          </w:p>
        </w:tc>
      </w:tr>
    </w:tbl>
    <w:p>
      <w:pPr>
        <w:rPr>
          <w:rFonts w:ascii="宋体" w:hAnsi="宋体"/>
          <w:bCs/>
          <w:szCs w:val="21"/>
        </w:rPr>
      </w:pPr>
      <w:r>
        <w:rPr>
          <w:rFonts w:hint="eastAsia" w:ascii="宋体" w:hAnsi="宋体"/>
          <w:bCs/>
          <w:szCs w:val="21"/>
        </w:rPr>
        <w:t>备注：建议专家对主要负责的每个专业抽查5-10本毕业论文（设计）。</w:t>
      </w:r>
    </w:p>
    <w:p>
      <w:pPr>
        <w:spacing w:line="500" w:lineRule="exact"/>
        <w:rPr>
          <w:rFonts w:ascii="仿宋" w:hAnsi="仿宋" w:eastAsia="仿宋"/>
          <w:b/>
          <w:bCs/>
          <w:color w:val="auto"/>
          <w:sz w:val="28"/>
          <w:szCs w:val="28"/>
        </w:rPr>
      </w:pPr>
      <w:r>
        <w:rPr>
          <w:rFonts w:ascii="楷体_GB2312" w:eastAsia="楷体_GB2312"/>
          <w:bCs/>
          <w:sz w:val="28"/>
          <w:szCs w:val="28"/>
        </w:rPr>
        <w:br w:type="page"/>
      </w:r>
      <w:r>
        <w:rPr>
          <w:rFonts w:hint="eastAsia" w:ascii="仿宋" w:hAnsi="仿宋" w:eastAsia="仿宋"/>
          <w:b/>
          <w:bCs/>
          <w:color w:val="auto"/>
          <w:sz w:val="28"/>
          <w:szCs w:val="28"/>
        </w:rPr>
        <w:t>表5：</w:t>
      </w:r>
    </w:p>
    <w:p>
      <w:pPr>
        <w:spacing w:line="500" w:lineRule="exact"/>
        <w:ind w:firstLine="562" w:firstLineChars="200"/>
        <w:jc w:val="center"/>
        <w:rPr>
          <w:rFonts w:ascii="仿宋" w:hAnsi="仿宋" w:eastAsia="仿宋"/>
          <w:b/>
          <w:bCs/>
          <w:sz w:val="28"/>
          <w:szCs w:val="28"/>
        </w:rPr>
      </w:pPr>
      <w:r>
        <w:rPr>
          <w:rFonts w:hint="eastAsia" w:ascii="仿宋" w:hAnsi="仿宋" w:eastAsia="仿宋"/>
          <w:b/>
          <w:bCs/>
          <w:sz w:val="28"/>
          <w:szCs w:val="28"/>
        </w:rPr>
        <w:t>试卷检查评价表（样表）</w:t>
      </w:r>
    </w:p>
    <w:tbl>
      <w:tblPr>
        <w:tblStyle w:val="13"/>
        <w:tblW w:w="8640" w:type="dxa"/>
        <w:tblInd w:w="93" w:type="dxa"/>
        <w:tblLayout w:type="autofit"/>
        <w:tblCellMar>
          <w:top w:w="0" w:type="dxa"/>
          <w:left w:w="108" w:type="dxa"/>
          <w:bottom w:w="0" w:type="dxa"/>
          <w:right w:w="108" w:type="dxa"/>
        </w:tblCellMar>
      </w:tblPr>
      <w:tblGrid>
        <w:gridCol w:w="1008"/>
        <w:gridCol w:w="992"/>
        <w:gridCol w:w="709"/>
        <w:gridCol w:w="1971"/>
        <w:gridCol w:w="1560"/>
        <w:gridCol w:w="600"/>
        <w:gridCol w:w="600"/>
        <w:gridCol w:w="600"/>
        <w:gridCol w:w="600"/>
      </w:tblGrid>
      <w:tr>
        <w:tblPrEx>
          <w:tblCellMar>
            <w:top w:w="0" w:type="dxa"/>
            <w:left w:w="108" w:type="dxa"/>
            <w:bottom w:w="0" w:type="dxa"/>
            <w:right w:w="108" w:type="dxa"/>
          </w:tblCellMar>
        </w:tblPrEx>
        <w:trPr>
          <w:trHeight w:val="375" w:hRule="atLeast"/>
        </w:trPr>
        <w:tc>
          <w:tcPr>
            <w:tcW w:w="8640" w:type="dxa"/>
            <w:gridSpan w:val="9"/>
            <w:tcBorders>
              <w:top w:val="nil"/>
              <w:left w:val="nil"/>
              <w:bottom w:val="single" w:color="auto" w:sz="8" w:space="0"/>
              <w:right w:val="nil"/>
            </w:tcBorders>
            <w:shd w:val="clear" w:color="auto" w:fill="auto"/>
            <w:vAlign w:val="center"/>
          </w:tcPr>
          <w:p>
            <w:pPr>
              <w:widowControl/>
              <w:rPr>
                <w:rFonts w:ascii="宋体" w:hAnsi="宋体" w:eastAsia="宋体" w:cs="宋体"/>
                <w:color w:val="000000"/>
                <w:kern w:val="0"/>
                <w:szCs w:val="21"/>
              </w:rPr>
            </w:pPr>
          </w:p>
        </w:tc>
      </w:tr>
      <w:tr>
        <w:tblPrEx>
          <w:tblCellMar>
            <w:top w:w="0" w:type="dxa"/>
            <w:left w:w="108" w:type="dxa"/>
            <w:bottom w:w="0" w:type="dxa"/>
            <w:right w:w="108" w:type="dxa"/>
          </w:tblCellMar>
        </w:tblPrEx>
        <w:trPr>
          <w:trHeight w:val="530" w:hRule="atLeast"/>
        </w:trPr>
        <w:tc>
          <w:tcPr>
            <w:tcW w:w="2709"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任课教师</w:t>
            </w:r>
          </w:p>
        </w:tc>
        <w:tc>
          <w:tcPr>
            <w:tcW w:w="197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60"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课程名称</w:t>
            </w:r>
          </w:p>
        </w:tc>
        <w:tc>
          <w:tcPr>
            <w:tcW w:w="18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2709" w:type="dxa"/>
            <w:gridSpan w:val="3"/>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学生所在院（系）</w:t>
            </w:r>
          </w:p>
        </w:tc>
        <w:tc>
          <w:tcPr>
            <w:tcW w:w="197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60"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专业年级（班级）</w:t>
            </w:r>
          </w:p>
        </w:tc>
        <w:tc>
          <w:tcPr>
            <w:tcW w:w="180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2709"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检查试卷份数</w:t>
            </w:r>
          </w:p>
        </w:tc>
        <w:tc>
          <w:tcPr>
            <w:tcW w:w="197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60"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课程所在教学单位</w:t>
            </w:r>
          </w:p>
        </w:tc>
        <w:tc>
          <w:tcPr>
            <w:tcW w:w="180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2709"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阅卷方式</w:t>
            </w:r>
          </w:p>
        </w:tc>
        <w:tc>
          <w:tcPr>
            <w:tcW w:w="5931"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流水批阅（ ）/任课教师批阅（ ）</w:t>
            </w:r>
          </w:p>
        </w:tc>
      </w:tr>
      <w:tr>
        <w:tblPrEx>
          <w:tblCellMar>
            <w:top w:w="0" w:type="dxa"/>
            <w:left w:w="108" w:type="dxa"/>
            <w:bottom w:w="0" w:type="dxa"/>
            <w:right w:w="108" w:type="dxa"/>
          </w:tblCellMar>
        </w:tblPrEx>
        <w:trPr>
          <w:trHeight w:val="300" w:hRule="atLeast"/>
        </w:trPr>
        <w:tc>
          <w:tcPr>
            <w:tcW w:w="6240"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评价项目</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A优</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B良</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C中</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D差</w:t>
            </w:r>
          </w:p>
        </w:tc>
      </w:tr>
      <w:tr>
        <w:tblPrEx>
          <w:tblCellMar>
            <w:top w:w="0" w:type="dxa"/>
            <w:left w:w="108" w:type="dxa"/>
            <w:bottom w:w="0" w:type="dxa"/>
            <w:right w:w="108" w:type="dxa"/>
          </w:tblCellMar>
        </w:tblPrEx>
        <w:trPr>
          <w:trHeight w:val="561" w:hRule="atLeast"/>
        </w:trPr>
        <w:tc>
          <w:tcPr>
            <w:tcW w:w="100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命题</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按课程大纲要求命题，试题基本覆盖课程内容，体现教学重点。</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97" w:hRule="atLeast"/>
        </w:trPr>
        <w:tc>
          <w:tcPr>
            <w:tcW w:w="100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题量适当，题型多样，基础知识题、综合题和提高题各占合适的比例；主客观题比例恰当。</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0" w:hRule="atLeast"/>
        </w:trPr>
        <w:tc>
          <w:tcPr>
            <w:tcW w:w="100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试题分值构成合理，有一定的区分度。</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7" w:hRule="atLeast"/>
        </w:trPr>
        <w:tc>
          <w:tcPr>
            <w:tcW w:w="100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A、B试卷题量、题型、难度相当，重复率不高于50%。</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7" w:hRule="atLeast"/>
        </w:trPr>
        <w:tc>
          <w:tcPr>
            <w:tcW w:w="100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卷面</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试卷格式规范，各题分值标明清楚，累加与总分相等。</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1" w:hRule="atLeast"/>
        </w:trPr>
        <w:tc>
          <w:tcPr>
            <w:tcW w:w="100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试卷语言文字简明、准确、无歧义，插图工整无错误。</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71" w:hRule="atLeast"/>
        </w:trPr>
        <w:tc>
          <w:tcPr>
            <w:tcW w:w="100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评阅</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标准（参考）答案正确，评分标准科学、合理。</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5" w:hRule="atLeast"/>
        </w:trPr>
        <w:tc>
          <w:tcPr>
            <w:tcW w:w="100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批改有痕迹，符号清晰、规范，卷面各项分数核算准确。</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0" w:hRule="atLeast"/>
        </w:trPr>
        <w:tc>
          <w:tcPr>
            <w:tcW w:w="100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根据标准（参考）答案严格、公正评分，无误判、错判。</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20" w:hRule="atLeast"/>
        </w:trPr>
        <w:tc>
          <w:tcPr>
            <w:tcW w:w="100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 w:val="22"/>
              </w:rPr>
            </w:pP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240" w:type="dxa"/>
            <w:gridSpan w:val="3"/>
            <w:tcBorders>
              <w:top w:val="single" w:color="auto" w:sz="8" w:space="0"/>
              <w:left w:val="nil"/>
              <w:bottom w:val="single" w:color="auto" w:sz="8" w:space="0"/>
              <w:right w:val="single" w:color="000000" w:sz="8" w:space="0"/>
            </w:tcBorders>
            <w:shd w:val="clear" w:color="auto" w:fill="auto"/>
            <w:vAlign w:val="center"/>
          </w:tcPr>
          <w:p>
            <w:pPr>
              <w:spacing w:line="240" w:lineRule="auto"/>
              <w:jc w:val="left"/>
              <w:rPr>
                <w:rFonts w:eastAsia="仿宋_GB2312"/>
                <w:szCs w:val="21"/>
              </w:rPr>
            </w:pPr>
            <w:r>
              <w:rPr>
                <w:rFonts w:hint="eastAsia" w:eastAsia="仿宋_GB2312"/>
                <w:szCs w:val="21"/>
              </w:rPr>
              <w:t>试卷分析真实、具体，改进措施明确、可操作。</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0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0" w:hRule="atLeast"/>
        </w:trPr>
        <w:tc>
          <w:tcPr>
            <w:tcW w:w="6240"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检查专家综合评价（A优——D差）</w:t>
            </w:r>
          </w:p>
        </w:tc>
        <w:tc>
          <w:tcPr>
            <w:tcW w:w="2400"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12" w:hRule="atLeast"/>
        </w:trPr>
        <w:tc>
          <w:tcPr>
            <w:tcW w:w="8640" w:type="dxa"/>
            <w:gridSpan w:val="9"/>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专家评价意见（对试卷命题、卷面、评阅情况进行评价；对存在的问题应清晰、具体摆出实证材料；提出建议要具体、可操作）：</w:t>
            </w:r>
          </w:p>
        </w:tc>
      </w:tr>
      <w:tr>
        <w:tblPrEx>
          <w:tblCellMar>
            <w:top w:w="0" w:type="dxa"/>
            <w:left w:w="108" w:type="dxa"/>
            <w:bottom w:w="0" w:type="dxa"/>
            <w:right w:w="108" w:type="dxa"/>
          </w:tblCellMar>
        </w:tblPrEx>
        <w:trPr>
          <w:trHeight w:val="312" w:hRule="atLeast"/>
        </w:trPr>
        <w:tc>
          <w:tcPr>
            <w:tcW w:w="8640" w:type="dxa"/>
            <w:gridSpan w:val="9"/>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5" w:hRule="atLeast"/>
        </w:trPr>
        <w:tc>
          <w:tcPr>
            <w:tcW w:w="8640" w:type="dxa"/>
            <w:gridSpan w:val="9"/>
            <w:tcBorders>
              <w:top w:val="single" w:color="auto" w:sz="8" w:space="0"/>
              <w:left w:val="single" w:color="auto" w:sz="8" w:space="0"/>
              <w:bottom w:val="nil"/>
              <w:right w:val="single" w:color="000000" w:sz="8"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70" w:hRule="atLeast"/>
        </w:trPr>
        <w:tc>
          <w:tcPr>
            <w:tcW w:w="8640" w:type="dxa"/>
            <w:gridSpan w:val="9"/>
            <w:tcBorders>
              <w:top w:val="nil"/>
              <w:left w:val="single" w:color="auto" w:sz="8" w:space="0"/>
              <w:bottom w:val="nil"/>
              <w:right w:val="single" w:color="000000" w:sz="8" w:space="0"/>
            </w:tcBorders>
            <w:shd w:val="clear" w:color="auto" w:fill="auto"/>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ind w:firstLine="440" w:firstLineChars="200"/>
              <w:rPr>
                <w:rFonts w:ascii="宋体" w:hAnsi="宋体" w:eastAsia="宋体" w:cs="宋体"/>
                <w:color w:val="000000"/>
                <w:kern w:val="0"/>
                <w:sz w:val="22"/>
              </w:rPr>
            </w:pPr>
            <w:r>
              <w:rPr>
                <w:rFonts w:hint="eastAsia" w:ascii="宋体" w:hAnsi="宋体" w:eastAsia="宋体" w:cs="宋体"/>
                <w:color w:val="000000"/>
                <w:kern w:val="0"/>
                <w:sz w:val="22"/>
              </w:rPr>
              <w:t>检查专家（签名）：                             年    月    日</w:t>
            </w:r>
          </w:p>
        </w:tc>
      </w:tr>
      <w:tr>
        <w:tblPrEx>
          <w:tblCellMar>
            <w:top w:w="0" w:type="dxa"/>
            <w:left w:w="108" w:type="dxa"/>
            <w:bottom w:w="0" w:type="dxa"/>
            <w:right w:w="108" w:type="dxa"/>
          </w:tblCellMar>
        </w:tblPrEx>
        <w:trPr>
          <w:trHeight w:val="549" w:hRule="atLeast"/>
        </w:trPr>
        <w:tc>
          <w:tcPr>
            <w:tcW w:w="8640" w:type="dxa"/>
            <w:gridSpan w:val="9"/>
            <w:tcBorders>
              <w:top w:val="nil"/>
              <w:left w:val="single" w:color="auto" w:sz="8" w:space="0"/>
              <w:bottom w:val="single" w:color="000000" w:sz="8" w:space="0"/>
              <w:right w:val="single" w:color="000000" w:sz="8" w:space="0"/>
            </w:tcBorders>
            <w:vAlign w:val="center"/>
          </w:tcPr>
          <w:p>
            <w:pPr>
              <w:widowControl/>
              <w:jc w:val="left"/>
              <w:rPr>
                <w:rFonts w:ascii="宋体" w:hAnsi="宋体" w:eastAsia="宋体" w:cs="宋体"/>
                <w:color w:val="000000"/>
                <w:kern w:val="0"/>
                <w:sz w:val="22"/>
              </w:rPr>
            </w:pPr>
          </w:p>
        </w:tc>
      </w:tr>
    </w:tbl>
    <w:p>
      <w:pPr>
        <w:jc w:val="left"/>
        <w:rPr>
          <w:rFonts w:hint="eastAsia" w:ascii="仿宋_GB2312" w:eastAsia="仿宋_GB2312"/>
          <w:bCs/>
          <w:sz w:val="24"/>
          <w:szCs w:val="24"/>
        </w:rPr>
      </w:pPr>
      <w:r>
        <w:rPr>
          <w:rFonts w:hint="eastAsia" w:ascii="楷体_GB2312" w:eastAsia="楷体_GB2312"/>
          <w:b/>
          <w:bCs/>
          <w:sz w:val="28"/>
          <w:szCs w:val="28"/>
        </w:rPr>
        <w:t xml:space="preserve">   </w:t>
      </w:r>
      <w:r>
        <w:rPr>
          <w:rFonts w:hint="eastAsia" w:ascii="仿宋_GB2312" w:eastAsia="仿宋_GB2312"/>
          <w:bCs/>
          <w:sz w:val="24"/>
          <w:szCs w:val="24"/>
        </w:rPr>
        <w:t>备注：建议专家可对其主要负责专业的核心课程抽查2套试卷。</w:t>
      </w:r>
    </w:p>
    <w:p>
      <w:pPr>
        <w:rPr>
          <w:rFonts w:hint="eastAsia" w:ascii="仿宋_GB2312" w:eastAsia="仿宋_GB2312"/>
          <w:bCs/>
          <w:sz w:val="24"/>
          <w:szCs w:val="24"/>
        </w:rPr>
      </w:pPr>
      <w:r>
        <w:rPr>
          <w:rFonts w:hint="eastAsia" w:ascii="仿宋_GB2312" w:eastAsia="仿宋_GB2312"/>
          <w:bCs/>
          <w:sz w:val="24"/>
          <w:szCs w:val="24"/>
        </w:rPr>
        <w:br w:type="page"/>
      </w:r>
    </w:p>
    <w:p>
      <w:pPr>
        <w:spacing w:line="500" w:lineRule="exact"/>
        <w:rPr>
          <w:rFonts w:ascii="仿宋" w:hAnsi="仿宋" w:eastAsia="仿宋"/>
          <w:b/>
          <w:bCs/>
          <w:color w:val="auto"/>
          <w:sz w:val="28"/>
          <w:szCs w:val="28"/>
        </w:rPr>
      </w:pPr>
      <w:r>
        <w:rPr>
          <w:rFonts w:hint="eastAsia" w:ascii="仿宋" w:hAnsi="仿宋" w:eastAsia="仿宋"/>
          <w:b/>
          <w:bCs/>
          <w:color w:val="auto"/>
          <w:sz w:val="28"/>
          <w:szCs w:val="28"/>
        </w:rPr>
        <w:t>表</w:t>
      </w:r>
      <w:r>
        <w:rPr>
          <w:rFonts w:hint="eastAsia" w:ascii="仿宋" w:hAnsi="仿宋" w:eastAsia="仿宋"/>
          <w:b/>
          <w:bCs/>
          <w:color w:val="auto"/>
          <w:sz w:val="28"/>
          <w:szCs w:val="28"/>
          <w:lang w:val="en-US" w:eastAsia="zh-CN"/>
        </w:rPr>
        <w:t>6</w:t>
      </w:r>
      <w:r>
        <w:rPr>
          <w:rFonts w:hint="eastAsia" w:ascii="仿宋" w:hAnsi="仿宋" w:eastAsia="仿宋"/>
          <w:b/>
          <w:bCs/>
          <w:color w:val="auto"/>
          <w:sz w:val="28"/>
          <w:szCs w:val="28"/>
        </w:rPr>
        <w:t>：</w:t>
      </w:r>
    </w:p>
    <w:p>
      <w:pPr>
        <w:spacing w:line="500" w:lineRule="exact"/>
        <w:ind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实验、实习实训报告检查评价表（样表）</w:t>
      </w:r>
    </w:p>
    <w:p>
      <w:pPr>
        <w:spacing w:line="500" w:lineRule="exact"/>
        <w:ind w:firstLine="562" w:firstLineChars="200"/>
        <w:jc w:val="center"/>
        <w:rPr>
          <w:rFonts w:ascii="仿宋" w:hAnsi="仿宋" w:eastAsia="仿宋"/>
          <w:b/>
          <w:bCs/>
          <w:color w:val="auto"/>
          <w:sz w:val="28"/>
          <w:szCs w:val="28"/>
        </w:rPr>
      </w:pPr>
    </w:p>
    <w:tbl>
      <w:tblPr>
        <w:tblStyle w:val="14"/>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05"/>
        <w:gridCol w:w="1965"/>
        <w:gridCol w:w="1275"/>
        <w:gridCol w:w="709"/>
        <w:gridCol w:w="620"/>
        <w:gridCol w:w="709"/>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2709" w:type="dxa"/>
            <w:gridSpan w:val="2"/>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任课教师</w:t>
            </w:r>
          </w:p>
        </w:tc>
        <w:tc>
          <w:tcPr>
            <w:tcW w:w="1965" w:type="dxa"/>
            <w:vAlign w:val="center"/>
          </w:tcPr>
          <w:p>
            <w:pPr>
              <w:widowControl/>
              <w:jc w:val="center"/>
              <w:rPr>
                <w:rFonts w:hint="eastAsia" w:ascii="宋体" w:hAnsi="宋体" w:eastAsia="宋体" w:cs="宋体"/>
                <w:color w:val="000000"/>
                <w:kern w:val="0"/>
                <w:sz w:val="22"/>
              </w:rPr>
            </w:pPr>
          </w:p>
        </w:tc>
        <w:tc>
          <w:tcPr>
            <w:tcW w:w="1984" w:type="dxa"/>
            <w:gridSpan w:val="2"/>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课程名称</w:t>
            </w:r>
          </w:p>
        </w:tc>
        <w:tc>
          <w:tcPr>
            <w:tcW w:w="1982" w:type="dxa"/>
            <w:gridSpan w:val="3"/>
            <w:vAlign w:val="center"/>
          </w:tcPr>
          <w:p>
            <w:pPr>
              <w:widowControl/>
              <w:jc w:val="center"/>
              <w:rPr>
                <w:rFonts w:hint="eastAsia" w:ascii="宋体" w:hAnsi="宋体" w:eastAsia="宋体" w:cs="宋体"/>
                <w:color w:val="000000"/>
                <w:kern w:val="0"/>
                <w:sz w:val="22"/>
              </w:rPr>
            </w:pPr>
          </w:p>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709" w:type="dxa"/>
            <w:gridSpan w:val="2"/>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学生所在院（系）</w:t>
            </w:r>
          </w:p>
        </w:tc>
        <w:tc>
          <w:tcPr>
            <w:tcW w:w="1965" w:type="dxa"/>
            <w:vAlign w:val="center"/>
          </w:tcPr>
          <w:p>
            <w:pPr>
              <w:widowControl/>
              <w:jc w:val="center"/>
              <w:rPr>
                <w:rFonts w:hint="eastAsia" w:ascii="宋体" w:hAnsi="宋体" w:eastAsia="宋体" w:cs="宋体"/>
                <w:color w:val="000000"/>
                <w:kern w:val="0"/>
                <w:sz w:val="22"/>
              </w:rPr>
            </w:pPr>
          </w:p>
        </w:tc>
        <w:tc>
          <w:tcPr>
            <w:tcW w:w="1984" w:type="dxa"/>
            <w:gridSpan w:val="2"/>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专业年级（班级）</w:t>
            </w:r>
          </w:p>
        </w:tc>
        <w:tc>
          <w:tcPr>
            <w:tcW w:w="1982" w:type="dxa"/>
            <w:gridSpan w:val="3"/>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709" w:type="dxa"/>
            <w:gridSpan w:val="2"/>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检查报告份数</w:t>
            </w:r>
          </w:p>
        </w:tc>
        <w:tc>
          <w:tcPr>
            <w:tcW w:w="1965" w:type="dxa"/>
            <w:vAlign w:val="center"/>
          </w:tcPr>
          <w:p>
            <w:pPr>
              <w:widowControl/>
              <w:jc w:val="center"/>
              <w:rPr>
                <w:rFonts w:hint="eastAsia" w:ascii="宋体" w:hAnsi="宋体" w:eastAsia="宋体" w:cs="宋体"/>
                <w:color w:val="000000"/>
                <w:kern w:val="0"/>
                <w:sz w:val="22"/>
              </w:rPr>
            </w:pPr>
          </w:p>
        </w:tc>
        <w:tc>
          <w:tcPr>
            <w:tcW w:w="1984" w:type="dxa"/>
            <w:gridSpan w:val="2"/>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课程所在教学单位</w:t>
            </w:r>
          </w:p>
        </w:tc>
        <w:tc>
          <w:tcPr>
            <w:tcW w:w="1982" w:type="dxa"/>
            <w:gridSpan w:val="3"/>
            <w:noWrap/>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49" w:type="dxa"/>
            <w:gridSpan w:val="4"/>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评价项目</w:t>
            </w:r>
          </w:p>
        </w:tc>
        <w:tc>
          <w:tcPr>
            <w:tcW w:w="709" w:type="dxa"/>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A优</w:t>
            </w:r>
          </w:p>
        </w:tc>
        <w:tc>
          <w:tcPr>
            <w:tcW w:w="620" w:type="dxa"/>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B良</w:t>
            </w:r>
          </w:p>
        </w:tc>
        <w:tc>
          <w:tcPr>
            <w:tcW w:w="709" w:type="dxa"/>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C中</w:t>
            </w:r>
          </w:p>
        </w:tc>
        <w:tc>
          <w:tcPr>
            <w:tcW w:w="653" w:type="dxa"/>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D差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45" w:type="dxa"/>
            <w:gridSpan w:val="3"/>
            <w:vAlign w:val="center"/>
          </w:tcPr>
          <w:p>
            <w:pPr>
              <w:spacing w:line="240" w:lineRule="auto"/>
              <w:jc w:val="left"/>
              <w:rPr>
                <w:rFonts w:hint="eastAsia" w:eastAsia="仿宋_GB2312"/>
                <w:szCs w:val="21"/>
              </w:rPr>
            </w:pPr>
            <w:r>
              <w:rPr>
                <w:rFonts w:hint="eastAsia" w:eastAsia="仿宋_GB2312"/>
                <w:szCs w:val="21"/>
              </w:rPr>
              <w:t>报告内容与教学大纲中内容相符。</w:t>
            </w:r>
          </w:p>
        </w:tc>
        <w:tc>
          <w:tcPr>
            <w:tcW w:w="709" w:type="dxa"/>
            <w:noWrap/>
            <w:vAlign w:val="center"/>
          </w:tcPr>
          <w:p>
            <w:pPr>
              <w:widowControl/>
              <w:jc w:val="left"/>
              <w:rPr>
                <w:rFonts w:ascii="宋体" w:hAnsi="宋体" w:eastAsia="宋体" w:cs="宋体"/>
                <w:color w:val="auto"/>
                <w:kern w:val="0"/>
                <w:sz w:val="22"/>
              </w:rPr>
            </w:pPr>
          </w:p>
        </w:tc>
        <w:tc>
          <w:tcPr>
            <w:tcW w:w="620" w:type="dxa"/>
            <w:noWrap/>
            <w:vAlign w:val="center"/>
          </w:tcPr>
          <w:p>
            <w:pPr>
              <w:widowControl/>
              <w:jc w:val="left"/>
              <w:rPr>
                <w:rFonts w:ascii="宋体" w:hAnsi="宋体" w:eastAsia="宋体" w:cs="宋体"/>
                <w:color w:val="auto"/>
                <w:kern w:val="0"/>
                <w:sz w:val="22"/>
              </w:rPr>
            </w:pPr>
          </w:p>
        </w:tc>
        <w:tc>
          <w:tcPr>
            <w:tcW w:w="709" w:type="dxa"/>
            <w:noWrap/>
            <w:vAlign w:val="center"/>
          </w:tcPr>
          <w:p>
            <w:pPr>
              <w:widowControl/>
              <w:jc w:val="left"/>
              <w:rPr>
                <w:rFonts w:ascii="宋体" w:hAnsi="宋体" w:eastAsia="宋体" w:cs="宋体"/>
                <w:color w:val="auto"/>
                <w:kern w:val="0"/>
                <w:sz w:val="22"/>
              </w:rPr>
            </w:pPr>
          </w:p>
        </w:tc>
        <w:tc>
          <w:tcPr>
            <w:tcW w:w="653" w:type="dxa"/>
            <w:noWrap/>
            <w:vAlign w:val="center"/>
          </w:tcPr>
          <w:p>
            <w:pPr>
              <w:widowControl/>
              <w:jc w:val="left"/>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45" w:type="dxa"/>
            <w:gridSpan w:val="3"/>
            <w:vAlign w:val="center"/>
          </w:tcPr>
          <w:p>
            <w:pPr>
              <w:spacing w:line="240" w:lineRule="auto"/>
              <w:jc w:val="left"/>
              <w:rPr>
                <w:rFonts w:hint="eastAsia" w:eastAsia="仿宋_GB2312"/>
                <w:szCs w:val="21"/>
              </w:rPr>
            </w:pPr>
            <w:r>
              <w:rPr>
                <w:rFonts w:hint="eastAsia" w:eastAsia="仿宋_GB2312"/>
                <w:szCs w:val="21"/>
              </w:rPr>
              <w:t>报告内容详实、形式规范。</w:t>
            </w:r>
          </w:p>
        </w:tc>
        <w:tc>
          <w:tcPr>
            <w:tcW w:w="709" w:type="dxa"/>
            <w:noWrap/>
            <w:vAlign w:val="center"/>
          </w:tcPr>
          <w:p>
            <w:pPr>
              <w:widowControl/>
              <w:jc w:val="left"/>
              <w:rPr>
                <w:rFonts w:ascii="宋体" w:hAnsi="宋体" w:eastAsia="宋体" w:cs="宋体"/>
                <w:color w:val="auto"/>
                <w:kern w:val="0"/>
                <w:sz w:val="22"/>
              </w:rPr>
            </w:pPr>
          </w:p>
        </w:tc>
        <w:tc>
          <w:tcPr>
            <w:tcW w:w="620" w:type="dxa"/>
            <w:noWrap/>
            <w:vAlign w:val="center"/>
          </w:tcPr>
          <w:p>
            <w:pPr>
              <w:widowControl/>
              <w:jc w:val="left"/>
              <w:rPr>
                <w:rFonts w:ascii="宋体" w:hAnsi="宋体" w:eastAsia="宋体" w:cs="宋体"/>
                <w:color w:val="auto"/>
                <w:kern w:val="0"/>
                <w:sz w:val="22"/>
              </w:rPr>
            </w:pPr>
          </w:p>
        </w:tc>
        <w:tc>
          <w:tcPr>
            <w:tcW w:w="709" w:type="dxa"/>
            <w:noWrap/>
            <w:vAlign w:val="center"/>
          </w:tcPr>
          <w:p>
            <w:pPr>
              <w:widowControl/>
              <w:jc w:val="left"/>
              <w:rPr>
                <w:rFonts w:ascii="宋体" w:hAnsi="宋体" w:eastAsia="宋体" w:cs="宋体"/>
                <w:color w:val="auto"/>
                <w:kern w:val="0"/>
                <w:sz w:val="22"/>
              </w:rPr>
            </w:pPr>
          </w:p>
        </w:tc>
        <w:tc>
          <w:tcPr>
            <w:tcW w:w="653" w:type="dxa"/>
            <w:noWrap/>
            <w:vAlign w:val="center"/>
          </w:tcPr>
          <w:p>
            <w:pPr>
              <w:widowControl/>
              <w:jc w:val="left"/>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45" w:type="dxa"/>
            <w:gridSpan w:val="3"/>
            <w:vAlign w:val="center"/>
          </w:tcPr>
          <w:p>
            <w:pPr>
              <w:spacing w:line="240" w:lineRule="auto"/>
              <w:jc w:val="left"/>
              <w:rPr>
                <w:rFonts w:hint="eastAsia" w:eastAsia="仿宋_GB2312"/>
                <w:szCs w:val="21"/>
              </w:rPr>
            </w:pPr>
            <w:r>
              <w:rPr>
                <w:rFonts w:hint="eastAsia" w:eastAsia="仿宋_GB2312"/>
                <w:szCs w:val="21"/>
              </w:rPr>
              <w:t>报告逻辑清晰，总结分析完善。</w:t>
            </w:r>
          </w:p>
        </w:tc>
        <w:tc>
          <w:tcPr>
            <w:tcW w:w="709" w:type="dxa"/>
            <w:noWrap/>
            <w:vAlign w:val="center"/>
          </w:tcPr>
          <w:p>
            <w:pPr>
              <w:widowControl/>
              <w:jc w:val="left"/>
              <w:rPr>
                <w:rFonts w:ascii="宋体" w:hAnsi="宋体" w:eastAsia="宋体" w:cs="宋体"/>
                <w:color w:val="auto"/>
                <w:kern w:val="0"/>
                <w:sz w:val="22"/>
              </w:rPr>
            </w:pPr>
          </w:p>
        </w:tc>
        <w:tc>
          <w:tcPr>
            <w:tcW w:w="620" w:type="dxa"/>
            <w:noWrap/>
            <w:vAlign w:val="center"/>
          </w:tcPr>
          <w:p>
            <w:pPr>
              <w:widowControl/>
              <w:jc w:val="left"/>
              <w:rPr>
                <w:rFonts w:ascii="宋体" w:hAnsi="宋体" w:eastAsia="宋体" w:cs="宋体"/>
                <w:color w:val="auto"/>
                <w:kern w:val="0"/>
                <w:sz w:val="22"/>
              </w:rPr>
            </w:pPr>
          </w:p>
        </w:tc>
        <w:tc>
          <w:tcPr>
            <w:tcW w:w="709" w:type="dxa"/>
            <w:noWrap/>
            <w:vAlign w:val="center"/>
          </w:tcPr>
          <w:p>
            <w:pPr>
              <w:widowControl/>
              <w:jc w:val="left"/>
              <w:rPr>
                <w:rFonts w:ascii="宋体" w:hAnsi="宋体" w:eastAsia="宋体" w:cs="宋体"/>
                <w:color w:val="auto"/>
                <w:kern w:val="0"/>
                <w:sz w:val="22"/>
              </w:rPr>
            </w:pPr>
          </w:p>
        </w:tc>
        <w:tc>
          <w:tcPr>
            <w:tcW w:w="653" w:type="dxa"/>
            <w:noWrap/>
            <w:vAlign w:val="center"/>
          </w:tcPr>
          <w:p>
            <w:pPr>
              <w:widowControl/>
              <w:jc w:val="left"/>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45" w:type="dxa"/>
            <w:gridSpan w:val="3"/>
            <w:vAlign w:val="center"/>
          </w:tcPr>
          <w:p>
            <w:pPr>
              <w:spacing w:line="240" w:lineRule="auto"/>
              <w:jc w:val="left"/>
              <w:rPr>
                <w:rFonts w:hint="eastAsia" w:eastAsia="仿宋_GB2312"/>
                <w:szCs w:val="21"/>
              </w:rPr>
            </w:pPr>
            <w:r>
              <w:rPr>
                <w:rFonts w:hint="eastAsia" w:eastAsia="仿宋_GB2312"/>
                <w:szCs w:val="21"/>
              </w:rPr>
              <w:t>报告批改认真、及时，全批全改。</w:t>
            </w:r>
          </w:p>
        </w:tc>
        <w:tc>
          <w:tcPr>
            <w:tcW w:w="709" w:type="dxa"/>
            <w:noWrap/>
            <w:vAlign w:val="center"/>
          </w:tcPr>
          <w:p>
            <w:pPr>
              <w:widowControl/>
              <w:jc w:val="left"/>
              <w:rPr>
                <w:rFonts w:ascii="宋体" w:hAnsi="宋体" w:eastAsia="宋体" w:cs="宋体"/>
                <w:color w:val="auto"/>
                <w:kern w:val="0"/>
                <w:sz w:val="22"/>
              </w:rPr>
            </w:pPr>
          </w:p>
        </w:tc>
        <w:tc>
          <w:tcPr>
            <w:tcW w:w="620" w:type="dxa"/>
            <w:noWrap/>
            <w:vAlign w:val="center"/>
          </w:tcPr>
          <w:p>
            <w:pPr>
              <w:widowControl/>
              <w:jc w:val="left"/>
              <w:rPr>
                <w:rFonts w:ascii="宋体" w:hAnsi="宋体" w:eastAsia="宋体" w:cs="宋体"/>
                <w:color w:val="auto"/>
                <w:kern w:val="0"/>
                <w:sz w:val="22"/>
              </w:rPr>
            </w:pPr>
          </w:p>
        </w:tc>
        <w:tc>
          <w:tcPr>
            <w:tcW w:w="709" w:type="dxa"/>
            <w:noWrap/>
            <w:vAlign w:val="center"/>
          </w:tcPr>
          <w:p>
            <w:pPr>
              <w:widowControl/>
              <w:jc w:val="left"/>
              <w:rPr>
                <w:rFonts w:ascii="宋体" w:hAnsi="宋体" w:eastAsia="宋体" w:cs="宋体"/>
                <w:color w:val="auto"/>
                <w:kern w:val="0"/>
                <w:sz w:val="22"/>
              </w:rPr>
            </w:pPr>
          </w:p>
        </w:tc>
        <w:tc>
          <w:tcPr>
            <w:tcW w:w="653" w:type="dxa"/>
            <w:noWrap/>
            <w:vAlign w:val="center"/>
          </w:tcPr>
          <w:p>
            <w:pPr>
              <w:widowControl/>
              <w:jc w:val="left"/>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245" w:type="dxa"/>
            <w:gridSpan w:val="3"/>
            <w:vAlign w:val="center"/>
          </w:tcPr>
          <w:p>
            <w:pPr>
              <w:spacing w:line="240" w:lineRule="auto"/>
              <w:jc w:val="left"/>
              <w:rPr>
                <w:rFonts w:hint="eastAsia" w:eastAsia="仿宋_GB2312"/>
                <w:szCs w:val="21"/>
              </w:rPr>
            </w:pPr>
            <w:r>
              <w:rPr>
                <w:rFonts w:hint="eastAsia" w:eastAsia="仿宋_GB2312"/>
                <w:szCs w:val="21"/>
              </w:rPr>
              <w:t>各项成绩给定有依据。</w:t>
            </w:r>
          </w:p>
        </w:tc>
        <w:tc>
          <w:tcPr>
            <w:tcW w:w="709" w:type="dxa"/>
            <w:noWrap/>
            <w:vAlign w:val="center"/>
          </w:tcPr>
          <w:p>
            <w:pPr>
              <w:widowControl/>
              <w:jc w:val="left"/>
              <w:rPr>
                <w:rFonts w:ascii="宋体" w:hAnsi="宋体" w:eastAsia="宋体" w:cs="宋体"/>
                <w:color w:val="auto"/>
                <w:kern w:val="0"/>
                <w:sz w:val="22"/>
              </w:rPr>
            </w:pPr>
          </w:p>
        </w:tc>
        <w:tc>
          <w:tcPr>
            <w:tcW w:w="620" w:type="dxa"/>
            <w:noWrap/>
            <w:vAlign w:val="center"/>
          </w:tcPr>
          <w:p>
            <w:pPr>
              <w:widowControl/>
              <w:jc w:val="left"/>
              <w:rPr>
                <w:rFonts w:ascii="宋体" w:hAnsi="宋体" w:eastAsia="宋体" w:cs="宋体"/>
                <w:color w:val="auto"/>
                <w:kern w:val="0"/>
                <w:sz w:val="22"/>
              </w:rPr>
            </w:pPr>
          </w:p>
        </w:tc>
        <w:tc>
          <w:tcPr>
            <w:tcW w:w="709" w:type="dxa"/>
            <w:noWrap/>
            <w:vAlign w:val="center"/>
          </w:tcPr>
          <w:p>
            <w:pPr>
              <w:widowControl/>
              <w:jc w:val="left"/>
              <w:rPr>
                <w:rFonts w:ascii="宋体" w:hAnsi="宋体" w:eastAsia="宋体" w:cs="宋体"/>
                <w:color w:val="auto"/>
                <w:kern w:val="0"/>
                <w:sz w:val="22"/>
              </w:rPr>
            </w:pPr>
          </w:p>
        </w:tc>
        <w:tc>
          <w:tcPr>
            <w:tcW w:w="653" w:type="dxa"/>
            <w:noWrap/>
            <w:vAlign w:val="center"/>
          </w:tcPr>
          <w:p>
            <w:pPr>
              <w:widowControl/>
              <w:jc w:val="left"/>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245" w:type="dxa"/>
            <w:gridSpan w:val="3"/>
            <w:vAlign w:val="center"/>
          </w:tcPr>
          <w:p>
            <w:pPr>
              <w:spacing w:line="240" w:lineRule="auto"/>
              <w:jc w:val="left"/>
              <w:rPr>
                <w:rFonts w:hint="eastAsia" w:eastAsia="仿宋_GB2312"/>
                <w:szCs w:val="21"/>
              </w:rPr>
            </w:pPr>
            <w:r>
              <w:rPr>
                <w:rFonts w:hint="eastAsia" w:eastAsia="仿宋_GB2312"/>
                <w:szCs w:val="21"/>
              </w:rPr>
              <w:t>报告评阅规范，评阅意见准确。</w:t>
            </w:r>
          </w:p>
        </w:tc>
        <w:tc>
          <w:tcPr>
            <w:tcW w:w="709" w:type="dxa"/>
            <w:noWrap/>
            <w:vAlign w:val="center"/>
          </w:tcPr>
          <w:p>
            <w:pPr>
              <w:widowControl/>
              <w:jc w:val="left"/>
              <w:rPr>
                <w:rFonts w:ascii="宋体" w:hAnsi="宋体" w:eastAsia="宋体" w:cs="宋体"/>
                <w:color w:val="auto"/>
                <w:kern w:val="0"/>
                <w:sz w:val="22"/>
              </w:rPr>
            </w:pPr>
          </w:p>
        </w:tc>
        <w:tc>
          <w:tcPr>
            <w:tcW w:w="620" w:type="dxa"/>
            <w:noWrap/>
            <w:vAlign w:val="center"/>
          </w:tcPr>
          <w:p>
            <w:pPr>
              <w:widowControl/>
              <w:jc w:val="left"/>
              <w:rPr>
                <w:rFonts w:ascii="宋体" w:hAnsi="宋体" w:eastAsia="宋体" w:cs="宋体"/>
                <w:color w:val="auto"/>
                <w:kern w:val="0"/>
                <w:sz w:val="22"/>
              </w:rPr>
            </w:pPr>
          </w:p>
        </w:tc>
        <w:tc>
          <w:tcPr>
            <w:tcW w:w="709" w:type="dxa"/>
            <w:noWrap/>
            <w:vAlign w:val="center"/>
          </w:tcPr>
          <w:p>
            <w:pPr>
              <w:widowControl/>
              <w:jc w:val="left"/>
              <w:rPr>
                <w:rFonts w:ascii="宋体" w:hAnsi="宋体" w:eastAsia="宋体" w:cs="宋体"/>
                <w:color w:val="auto"/>
                <w:kern w:val="0"/>
                <w:sz w:val="22"/>
              </w:rPr>
            </w:pPr>
          </w:p>
        </w:tc>
        <w:tc>
          <w:tcPr>
            <w:tcW w:w="653" w:type="dxa"/>
            <w:noWrap/>
            <w:vAlign w:val="center"/>
          </w:tcPr>
          <w:p>
            <w:pPr>
              <w:widowControl/>
              <w:jc w:val="left"/>
              <w:rPr>
                <w:rFonts w:ascii="宋体" w:hAnsi="宋体" w:eastAsia="宋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949" w:type="dxa"/>
            <w:gridSpan w:val="4"/>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检查专家综合评价（A优——D差）</w:t>
            </w:r>
          </w:p>
        </w:tc>
        <w:tc>
          <w:tcPr>
            <w:tcW w:w="2691" w:type="dxa"/>
            <w:gridSpan w:val="4"/>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640" w:type="dxa"/>
            <w:gridSpan w:val="8"/>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专家评价意见（对报告</w:t>
            </w:r>
            <w:r>
              <w:rPr>
                <w:rFonts w:hint="eastAsia" w:ascii="宋体" w:hAnsi="宋体" w:eastAsia="宋体" w:cs="宋体"/>
                <w:color w:val="000000"/>
                <w:kern w:val="0"/>
                <w:sz w:val="20"/>
                <w:szCs w:val="20"/>
                <w:lang w:val="en-US" w:eastAsia="zh-CN"/>
              </w:rPr>
              <w:t>内涵</w:t>
            </w:r>
            <w:r>
              <w:rPr>
                <w:rFonts w:hint="eastAsia" w:ascii="宋体" w:hAnsi="宋体" w:eastAsia="宋体" w:cs="宋体"/>
                <w:color w:val="000000"/>
                <w:kern w:val="0"/>
                <w:sz w:val="20"/>
                <w:szCs w:val="20"/>
              </w:rPr>
              <w:t>、评阅情况进行评价；对存在的问题应清晰、具体摆出实证材料；提出建议要具体、可操作）：</w:t>
            </w: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rPr>
                <w:rFonts w:ascii="宋体" w:hAnsi="宋体" w:eastAsia="宋体" w:cs="宋体"/>
                <w:color w:val="000000"/>
                <w:kern w:val="0"/>
                <w:sz w:val="22"/>
              </w:rPr>
            </w:pPr>
          </w:p>
          <w:p>
            <w:pPr>
              <w:ind w:firstLine="440" w:firstLineChars="200"/>
              <w:rPr>
                <w:rFonts w:ascii="宋体" w:hAnsi="宋体" w:eastAsia="宋体" w:cs="宋体"/>
                <w:color w:val="000000"/>
                <w:kern w:val="0"/>
                <w:sz w:val="20"/>
                <w:szCs w:val="20"/>
              </w:rPr>
            </w:pPr>
            <w:r>
              <w:rPr>
                <w:rFonts w:hint="eastAsia" w:ascii="宋体" w:hAnsi="宋体" w:eastAsia="宋体" w:cs="宋体"/>
                <w:color w:val="000000"/>
                <w:kern w:val="0"/>
                <w:sz w:val="22"/>
              </w:rPr>
              <w:t>检查专家（签名）：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40" w:type="dxa"/>
            <w:gridSpan w:val="8"/>
          </w:tcPr>
          <w:p>
            <w:pPr>
              <w:widowControl/>
              <w:jc w:val="left"/>
              <w:rPr>
                <w:rFonts w:ascii="宋体" w:hAnsi="宋体" w:eastAsia="宋体" w:cs="宋体"/>
                <w:color w:val="000000"/>
                <w:kern w:val="0"/>
                <w:sz w:val="22"/>
              </w:rPr>
            </w:pPr>
          </w:p>
        </w:tc>
      </w:tr>
    </w:tbl>
    <w:p>
      <w:pPr>
        <w:jc w:val="left"/>
        <w:rPr>
          <w:rFonts w:ascii="仿宋_GB2312" w:eastAsia="仿宋_GB2312"/>
          <w:bCs/>
          <w:color w:val="auto"/>
          <w:sz w:val="24"/>
          <w:szCs w:val="24"/>
        </w:rPr>
      </w:pPr>
      <w:r>
        <w:rPr>
          <w:rFonts w:hint="eastAsia" w:ascii="仿宋_GB2312" w:eastAsia="仿宋_GB2312"/>
          <w:bCs/>
          <w:color w:val="auto"/>
          <w:sz w:val="24"/>
          <w:szCs w:val="24"/>
        </w:rPr>
        <w:t>备注：建议专家可对其主要负责专业的核心实验课程</w:t>
      </w:r>
      <w:r>
        <w:rPr>
          <w:rFonts w:hint="eastAsia" w:ascii="仿宋_GB2312" w:eastAsia="仿宋_GB2312"/>
          <w:bCs/>
          <w:color w:val="auto"/>
          <w:sz w:val="24"/>
          <w:szCs w:val="24"/>
          <w:lang w:eastAsia="zh-CN"/>
        </w:rPr>
        <w:t>、</w:t>
      </w:r>
      <w:r>
        <w:rPr>
          <w:rFonts w:hint="eastAsia" w:ascii="仿宋_GB2312" w:eastAsia="仿宋_GB2312"/>
          <w:bCs/>
          <w:color w:val="auto"/>
          <w:sz w:val="24"/>
          <w:szCs w:val="24"/>
        </w:rPr>
        <w:t>各类实习实训课程</w:t>
      </w:r>
      <w:r>
        <w:rPr>
          <w:rFonts w:hint="eastAsia" w:ascii="仿宋_GB2312" w:eastAsia="仿宋_GB2312"/>
          <w:bCs/>
          <w:color w:val="auto"/>
          <w:sz w:val="24"/>
          <w:szCs w:val="24"/>
          <w:lang w:val="en-US" w:eastAsia="zh-CN"/>
        </w:rPr>
        <w:t>各</w:t>
      </w:r>
      <w:r>
        <w:rPr>
          <w:rFonts w:hint="eastAsia" w:ascii="仿宋_GB2312" w:eastAsia="仿宋_GB2312"/>
          <w:bCs/>
          <w:color w:val="auto"/>
          <w:sz w:val="24"/>
          <w:szCs w:val="24"/>
        </w:rPr>
        <w:t>抽查2套</w:t>
      </w:r>
      <w:r>
        <w:rPr>
          <w:rFonts w:hint="eastAsia" w:ascii="仿宋_GB2312" w:eastAsia="仿宋_GB2312"/>
          <w:bCs/>
          <w:color w:val="auto"/>
          <w:sz w:val="24"/>
          <w:szCs w:val="24"/>
          <w:lang w:val="en-US" w:eastAsia="zh-CN"/>
        </w:rPr>
        <w:t>报告</w:t>
      </w:r>
      <w:r>
        <w:rPr>
          <w:rFonts w:hint="eastAsia" w:ascii="仿宋_GB2312" w:eastAsia="仿宋_GB2312"/>
          <w:bCs/>
          <w:color w:val="auto"/>
          <w:sz w:val="24"/>
          <w:szCs w:val="24"/>
        </w:rPr>
        <w:t>。</w:t>
      </w:r>
    </w:p>
    <w:p>
      <w:pPr>
        <w:rPr>
          <w:rFonts w:hint="eastAsia" w:ascii="仿宋_GB2312" w:eastAsia="仿宋_GB2312"/>
          <w:bCs/>
          <w:sz w:val="24"/>
          <w:szCs w:val="24"/>
        </w:rPr>
      </w:pPr>
      <w:r>
        <w:rPr>
          <w:rFonts w:hint="eastAsia" w:ascii="仿宋_GB2312" w:eastAsia="仿宋_GB2312"/>
          <w:bCs/>
          <w:sz w:val="24"/>
          <w:szCs w:val="24"/>
        </w:rPr>
        <w:br w:type="page"/>
      </w:r>
    </w:p>
    <w:p>
      <w:pPr>
        <w:spacing w:line="500" w:lineRule="exact"/>
        <w:rPr>
          <w:rFonts w:ascii="仿宋" w:hAnsi="仿宋" w:eastAsia="仿宋"/>
          <w:b/>
          <w:bCs/>
          <w:color w:val="auto"/>
          <w:sz w:val="28"/>
          <w:szCs w:val="28"/>
        </w:rPr>
      </w:pPr>
      <w:r>
        <w:rPr>
          <w:rFonts w:hint="eastAsia" w:ascii="仿宋" w:hAnsi="仿宋" w:eastAsia="仿宋"/>
          <w:b/>
          <w:bCs/>
          <w:color w:val="auto"/>
          <w:sz w:val="28"/>
          <w:szCs w:val="28"/>
        </w:rPr>
        <w:t>表</w:t>
      </w:r>
      <w:r>
        <w:rPr>
          <w:rFonts w:hint="eastAsia" w:ascii="仿宋" w:hAnsi="仿宋" w:eastAsia="仿宋"/>
          <w:b/>
          <w:bCs/>
          <w:color w:val="auto"/>
          <w:sz w:val="28"/>
          <w:szCs w:val="28"/>
          <w:lang w:val="en-US" w:eastAsia="zh-CN"/>
        </w:rPr>
        <w:t>7</w:t>
      </w:r>
      <w:r>
        <w:rPr>
          <w:rFonts w:hint="eastAsia" w:ascii="仿宋" w:hAnsi="仿宋" w:eastAsia="仿宋"/>
          <w:b/>
          <w:bCs/>
          <w:color w:val="auto"/>
          <w:sz w:val="28"/>
          <w:szCs w:val="28"/>
        </w:rPr>
        <w:t>：</w:t>
      </w:r>
    </w:p>
    <w:p>
      <w:pPr>
        <w:spacing w:line="500" w:lineRule="exact"/>
        <w:ind w:firstLine="562" w:firstLineChars="200"/>
        <w:jc w:val="center"/>
        <w:rPr>
          <w:rFonts w:ascii="仿宋" w:hAnsi="仿宋" w:eastAsia="仿宋"/>
          <w:b/>
          <w:bCs/>
          <w:sz w:val="28"/>
          <w:szCs w:val="28"/>
        </w:rPr>
      </w:pPr>
      <w:r>
        <w:rPr>
          <w:rFonts w:hint="eastAsia" w:ascii="仿宋" w:hAnsi="仿宋" w:eastAsia="仿宋"/>
          <w:b/>
          <w:bCs/>
          <w:sz w:val="28"/>
          <w:szCs w:val="28"/>
        </w:rPr>
        <w:t>现场考察意见表（样表）</w:t>
      </w:r>
    </w:p>
    <w:p>
      <w:pPr>
        <w:spacing w:line="440" w:lineRule="exact"/>
        <w:jc w:val="left"/>
        <w:rPr>
          <w:rFonts w:ascii="黑体" w:hAnsi="黑体" w:eastAsia="黑体" w:cs="Times New Roman"/>
          <w:b/>
          <w:sz w:val="32"/>
          <w:szCs w:val="32"/>
        </w:rPr>
      </w:pPr>
      <w:r>
        <w:rPr>
          <w:rFonts w:hint="eastAsia" w:ascii="仿宋_GB2312" w:hAnsi="黑体" w:eastAsia="仿宋_GB2312"/>
          <w:sz w:val="28"/>
          <w:szCs w:val="28"/>
        </w:rPr>
        <w:t>专业名称：</w:t>
      </w:r>
      <w:r>
        <w:rPr>
          <w:rFonts w:hint="eastAsia" w:ascii="黑体" w:hAnsi="黑体" w:eastAsia="黑体"/>
          <w:sz w:val="28"/>
          <w:szCs w:val="28"/>
        </w:rPr>
        <w:t xml:space="preserve">_____________________ </w:t>
      </w:r>
      <w:r>
        <w:rPr>
          <w:rFonts w:hint="eastAsia" w:ascii="仿宋_GB2312" w:hAnsi="黑体" w:eastAsia="仿宋_GB2312"/>
          <w:sz w:val="28"/>
          <w:szCs w:val="28"/>
        </w:rPr>
        <w:t>考察时间：</w:t>
      </w:r>
      <w:r>
        <w:rPr>
          <w:rFonts w:hint="eastAsia" w:ascii="黑体" w:hAnsi="黑体" w:eastAsia="黑体"/>
          <w:sz w:val="28"/>
          <w:szCs w:val="28"/>
        </w:rPr>
        <w:t>_____________</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4037"/>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897" w:type="dxa"/>
            <w:vAlign w:val="center"/>
          </w:tcPr>
          <w:p>
            <w:pPr>
              <w:spacing w:line="440" w:lineRule="exact"/>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一级指标</w:t>
            </w:r>
          </w:p>
        </w:tc>
        <w:tc>
          <w:tcPr>
            <w:tcW w:w="4037" w:type="dxa"/>
            <w:vAlign w:val="center"/>
          </w:tcPr>
          <w:p>
            <w:pPr>
              <w:spacing w:line="440" w:lineRule="exact"/>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二级指标</w:t>
            </w:r>
          </w:p>
        </w:tc>
        <w:tc>
          <w:tcPr>
            <w:tcW w:w="3246" w:type="dxa"/>
            <w:vAlign w:val="center"/>
          </w:tcPr>
          <w:p>
            <w:pPr>
              <w:jc w:val="center"/>
              <w:rPr>
                <w:rFonts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评价结果</w:t>
            </w:r>
          </w:p>
          <w:p>
            <w:pPr>
              <w:jc w:val="center"/>
              <w:rPr>
                <w:rFonts w:cs="Times New Roman" w:asciiTheme="minorEastAsia" w:hAnsiTheme="minorEastAsia"/>
                <w:b/>
                <w:bCs/>
                <w:color w:val="000000"/>
                <w:szCs w:val="21"/>
                <w:highlight w:val="yellow"/>
              </w:rPr>
            </w:pPr>
            <w:r>
              <w:rPr>
                <w:rFonts w:hint="eastAsia" w:cs="Times New Roman" w:asciiTheme="minorEastAsia" w:hAnsiTheme="minorEastAsia"/>
                <w:b/>
                <w:bCs/>
                <w:color w:val="000000"/>
                <w:szCs w:val="21"/>
              </w:rPr>
              <w:t>（按一级指标评价合格或不合格，并有针对性的撰写诊断意见）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restart"/>
            <w:vAlign w:val="center"/>
          </w:tcPr>
          <w:p>
            <w:pPr>
              <w:spacing w:line="440" w:lineRule="exact"/>
              <w:jc w:val="center"/>
              <w:rPr>
                <w:rFonts w:cs="Times New Roman" w:asciiTheme="minorEastAsia" w:hAnsiTheme="minorEastAsia"/>
                <w:color w:val="000000"/>
                <w:sz w:val="24"/>
                <w:szCs w:val="24"/>
              </w:rPr>
            </w:pPr>
            <w:r>
              <w:rPr>
                <w:sz w:val="24"/>
                <w:szCs w:val="24"/>
              </w:rPr>
              <w:t>1.</w:t>
            </w:r>
            <w:r>
              <w:rPr>
                <w:rFonts w:hint="eastAsia"/>
                <w:sz w:val="24"/>
                <w:szCs w:val="24"/>
              </w:rPr>
              <w:t>专业办学指导思想</w:t>
            </w:r>
          </w:p>
        </w:tc>
        <w:tc>
          <w:tcPr>
            <w:tcW w:w="4037" w:type="dxa"/>
            <w:vAlign w:val="center"/>
          </w:tcPr>
          <w:p>
            <w:pPr>
              <w:rPr>
                <w:rFonts w:cs="Times New Roman" w:asciiTheme="minorEastAsia" w:hAnsiTheme="minorEastAsia"/>
                <w:color w:val="000000"/>
                <w:sz w:val="24"/>
                <w:szCs w:val="24"/>
              </w:rPr>
            </w:pPr>
            <w:r>
              <w:rPr>
                <w:sz w:val="24"/>
                <w:szCs w:val="24"/>
              </w:rPr>
              <w:t>1.1</w:t>
            </w:r>
            <w:r>
              <w:rPr>
                <w:rFonts w:hint="eastAsia"/>
                <w:sz w:val="24"/>
                <w:szCs w:val="24"/>
              </w:rPr>
              <w:t>专业办学方向</w:t>
            </w:r>
          </w:p>
        </w:tc>
        <w:tc>
          <w:tcPr>
            <w:tcW w:w="3246" w:type="dxa"/>
            <w:vMerge w:val="restart"/>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b/>
                <w:color w:val="000000"/>
                <w:sz w:val="24"/>
                <w:szCs w:val="24"/>
              </w:rPr>
            </w:pPr>
            <w:r>
              <w:rPr>
                <w:sz w:val="24"/>
                <w:szCs w:val="24"/>
              </w:rPr>
              <w:t>1.2*</w:t>
            </w:r>
            <w:r>
              <w:rPr>
                <w:rFonts w:hint="eastAsia"/>
                <w:sz w:val="24"/>
                <w:szCs w:val="24"/>
              </w:rPr>
              <w:t>专业定位与建设规划</w:t>
            </w:r>
          </w:p>
        </w:tc>
        <w:tc>
          <w:tcPr>
            <w:tcW w:w="3246" w:type="dxa"/>
            <w:vMerge w:val="continue"/>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color w:val="000000"/>
                <w:sz w:val="24"/>
                <w:szCs w:val="24"/>
              </w:rPr>
            </w:pPr>
            <w:r>
              <w:rPr>
                <w:sz w:val="24"/>
                <w:szCs w:val="24"/>
              </w:rPr>
              <w:t>1.3*</w:t>
            </w:r>
            <w:r>
              <w:rPr>
                <w:rFonts w:hint="eastAsia"/>
                <w:sz w:val="24"/>
                <w:szCs w:val="24"/>
              </w:rPr>
              <w:t>培养方案</w:t>
            </w:r>
          </w:p>
        </w:tc>
        <w:tc>
          <w:tcPr>
            <w:tcW w:w="3246" w:type="dxa"/>
            <w:vMerge w:val="continue"/>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restart"/>
            <w:vAlign w:val="center"/>
          </w:tcPr>
          <w:p>
            <w:pPr>
              <w:spacing w:line="440" w:lineRule="exact"/>
              <w:jc w:val="center"/>
              <w:rPr>
                <w:rFonts w:cs="Times New Roman" w:asciiTheme="minorEastAsia" w:hAnsiTheme="minorEastAsia"/>
                <w:color w:val="000000"/>
                <w:sz w:val="24"/>
                <w:szCs w:val="24"/>
              </w:rPr>
            </w:pPr>
            <w:r>
              <w:rPr>
                <w:sz w:val="24"/>
                <w:szCs w:val="24"/>
              </w:rPr>
              <w:t>2.</w:t>
            </w:r>
            <w:r>
              <w:rPr>
                <w:rFonts w:hint="eastAsia"/>
                <w:sz w:val="24"/>
                <w:szCs w:val="24"/>
              </w:rPr>
              <w:t>师资队伍</w:t>
            </w:r>
          </w:p>
        </w:tc>
        <w:tc>
          <w:tcPr>
            <w:tcW w:w="4037" w:type="dxa"/>
            <w:vAlign w:val="center"/>
          </w:tcPr>
          <w:p>
            <w:pPr>
              <w:rPr>
                <w:rFonts w:cs="Times New Roman" w:asciiTheme="minorEastAsia" w:hAnsiTheme="minorEastAsia"/>
                <w:color w:val="000000"/>
                <w:sz w:val="24"/>
                <w:szCs w:val="24"/>
              </w:rPr>
            </w:pPr>
            <w:r>
              <w:rPr>
                <w:sz w:val="24"/>
                <w:szCs w:val="24"/>
              </w:rPr>
              <w:t>2.1*</w:t>
            </w:r>
            <w:r>
              <w:rPr>
                <w:rFonts w:hint="eastAsia"/>
                <w:sz w:val="24"/>
                <w:szCs w:val="24"/>
              </w:rPr>
              <w:t>教师数量与结构</w:t>
            </w:r>
          </w:p>
        </w:tc>
        <w:tc>
          <w:tcPr>
            <w:tcW w:w="3246" w:type="dxa"/>
            <w:vMerge w:val="restart"/>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bCs/>
                <w:color w:val="000000"/>
                <w:sz w:val="24"/>
                <w:szCs w:val="24"/>
              </w:rPr>
            </w:pPr>
            <w:r>
              <w:rPr>
                <w:sz w:val="24"/>
                <w:szCs w:val="24"/>
              </w:rPr>
              <w:t>2.2</w:t>
            </w:r>
            <w:r>
              <w:rPr>
                <w:rFonts w:hint="eastAsia"/>
                <w:sz w:val="24"/>
                <w:szCs w:val="24"/>
              </w:rPr>
              <w:t>教学水平</w:t>
            </w:r>
          </w:p>
        </w:tc>
        <w:tc>
          <w:tcPr>
            <w:tcW w:w="3246" w:type="dxa"/>
            <w:vMerge w:val="continue"/>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bCs/>
                <w:color w:val="000000"/>
                <w:sz w:val="24"/>
                <w:szCs w:val="24"/>
              </w:rPr>
            </w:pPr>
            <w:r>
              <w:rPr>
                <w:sz w:val="24"/>
                <w:szCs w:val="24"/>
              </w:rPr>
              <w:t>2.3*</w:t>
            </w:r>
            <w:r>
              <w:rPr>
                <w:rFonts w:hint="eastAsia"/>
                <w:sz w:val="24"/>
                <w:szCs w:val="24"/>
              </w:rPr>
              <w:t>教师风范</w:t>
            </w:r>
          </w:p>
        </w:tc>
        <w:tc>
          <w:tcPr>
            <w:tcW w:w="3246" w:type="dxa"/>
            <w:vMerge w:val="continue"/>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bCs/>
                <w:color w:val="000000"/>
                <w:sz w:val="24"/>
                <w:szCs w:val="24"/>
              </w:rPr>
            </w:pPr>
            <w:r>
              <w:rPr>
                <w:sz w:val="24"/>
                <w:szCs w:val="24"/>
              </w:rPr>
              <w:t>2.4</w:t>
            </w:r>
            <w:r>
              <w:rPr>
                <w:rFonts w:hint="eastAsia"/>
                <w:sz w:val="24"/>
                <w:szCs w:val="24"/>
              </w:rPr>
              <w:t>科学研究</w:t>
            </w:r>
          </w:p>
        </w:tc>
        <w:tc>
          <w:tcPr>
            <w:tcW w:w="3246" w:type="dxa"/>
            <w:vMerge w:val="continue"/>
            <w:vAlign w:val="center"/>
          </w:tcPr>
          <w:p>
            <w:pPr>
              <w:spacing w:line="220" w:lineRule="exact"/>
              <w:rPr>
                <w:rFonts w:cs="Times New Roman" w:asciiTheme="minorEastAsia" w:hAnsiTheme="minorEastAsia"/>
                <w:bCs/>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bCs/>
                <w:color w:val="000000"/>
                <w:sz w:val="24"/>
                <w:szCs w:val="24"/>
              </w:rPr>
            </w:pPr>
            <w:r>
              <w:rPr>
                <w:sz w:val="24"/>
                <w:szCs w:val="24"/>
              </w:rPr>
              <w:t>2.5</w:t>
            </w:r>
            <w:r>
              <w:rPr>
                <w:rFonts w:hint="eastAsia"/>
                <w:sz w:val="24"/>
                <w:szCs w:val="24"/>
              </w:rPr>
              <w:t>教师发展</w:t>
            </w:r>
          </w:p>
        </w:tc>
        <w:tc>
          <w:tcPr>
            <w:tcW w:w="3246" w:type="dxa"/>
            <w:vMerge w:val="continue"/>
            <w:vAlign w:val="center"/>
          </w:tcPr>
          <w:p>
            <w:pPr>
              <w:spacing w:line="220" w:lineRule="exact"/>
              <w:rPr>
                <w:rFonts w:cs="Times New Roman" w:asciiTheme="minorEastAsia" w:hAnsiTheme="minorEastAsia"/>
                <w:bCs/>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restart"/>
            <w:vAlign w:val="center"/>
          </w:tcPr>
          <w:p>
            <w:pPr>
              <w:spacing w:line="440" w:lineRule="exact"/>
              <w:jc w:val="center"/>
              <w:rPr>
                <w:rFonts w:cs="Times New Roman" w:asciiTheme="minorEastAsia" w:hAnsiTheme="minorEastAsia"/>
                <w:color w:val="000000"/>
                <w:sz w:val="24"/>
                <w:szCs w:val="24"/>
              </w:rPr>
            </w:pPr>
            <w:r>
              <w:rPr>
                <w:sz w:val="24"/>
                <w:szCs w:val="24"/>
              </w:rPr>
              <w:t>3.</w:t>
            </w:r>
            <w:r>
              <w:rPr>
                <w:rFonts w:hint="eastAsia"/>
                <w:sz w:val="24"/>
                <w:szCs w:val="24"/>
              </w:rPr>
              <w:t>教学过程</w:t>
            </w:r>
          </w:p>
        </w:tc>
        <w:tc>
          <w:tcPr>
            <w:tcW w:w="4037" w:type="dxa"/>
            <w:vAlign w:val="center"/>
          </w:tcPr>
          <w:p>
            <w:pPr>
              <w:rPr>
                <w:rFonts w:cs="Times New Roman" w:asciiTheme="minorEastAsia" w:hAnsiTheme="minorEastAsia"/>
                <w:bCs/>
                <w:color w:val="000000"/>
                <w:sz w:val="24"/>
                <w:szCs w:val="24"/>
              </w:rPr>
            </w:pPr>
            <w:r>
              <w:rPr>
                <w:sz w:val="24"/>
                <w:szCs w:val="24"/>
              </w:rPr>
              <w:t>3.1*</w:t>
            </w:r>
            <w:r>
              <w:rPr>
                <w:rFonts w:hint="eastAsia"/>
                <w:sz w:val="24"/>
                <w:szCs w:val="24"/>
              </w:rPr>
              <w:t>课程</w:t>
            </w:r>
          </w:p>
        </w:tc>
        <w:tc>
          <w:tcPr>
            <w:tcW w:w="3246" w:type="dxa"/>
            <w:vMerge w:val="restart"/>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color w:val="000000"/>
                <w:sz w:val="24"/>
                <w:szCs w:val="24"/>
              </w:rPr>
            </w:pPr>
            <w:r>
              <w:rPr>
                <w:sz w:val="24"/>
                <w:szCs w:val="24"/>
              </w:rPr>
              <w:t>3.2</w:t>
            </w:r>
            <w:r>
              <w:rPr>
                <w:rFonts w:hint="eastAsia"/>
                <w:sz w:val="24"/>
                <w:szCs w:val="24"/>
              </w:rPr>
              <w:t>教材</w:t>
            </w:r>
          </w:p>
        </w:tc>
        <w:tc>
          <w:tcPr>
            <w:tcW w:w="3246" w:type="dxa"/>
            <w:vMerge w:val="continue"/>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color w:val="000000"/>
                <w:sz w:val="24"/>
                <w:szCs w:val="24"/>
              </w:rPr>
            </w:pPr>
            <w:r>
              <w:rPr>
                <w:sz w:val="24"/>
                <w:szCs w:val="24"/>
              </w:rPr>
              <w:t>3.3</w:t>
            </w:r>
            <w:r>
              <w:rPr>
                <w:rFonts w:hint="eastAsia"/>
                <w:sz w:val="24"/>
                <w:szCs w:val="24"/>
              </w:rPr>
              <w:t>实践教学</w:t>
            </w:r>
          </w:p>
        </w:tc>
        <w:tc>
          <w:tcPr>
            <w:tcW w:w="3246" w:type="dxa"/>
            <w:vMerge w:val="continue"/>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color w:val="000000"/>
                <w:sz w:val="24"/>
                <w:szCs w:val="24"/>
              </w:rPr>
            </w:pPr>
            <w:r>
              <w:rPr>
                <w:sz w:val="24"/>
                <w:szCs w:val="24"/>
              </w:rPr>
              <w:t>3.4</w:t>
            </w:r>
            <w:r>
              <w:rPr>
                <w:rFonts w:hint="eastAsia"/>
                <w:sz w:val="24"/>
                <w:szCs w:val="24"/>
              </w:rPr>
              <w:t>教学改革</w:t>
            </w:r>
          </w:p>
        </w:tc>
        <w:tc>
          <w:tcPr>
            <w:tcW w:w="3246" w:type="dxa"/>
            <w:vMerge w:val="continue"/>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restart"/>
            <w:vAlign w:val="center"/>
          </w:tcPr>
          <w:p>
            <w:pPr>
              <w:spacing w:line="440" w:lineRule="exact"/>
              <w:jc w:val="center"/>
              <w:rPr>
                <w:rFonts w:cs="Times New Roman" w:asciiTheme="minorEastAsia" w:hAnsiTheme="minorEastAsia"/>
                <w:color w:val="000000"/>
                <w:sz w:val="24"/>
                <w:szCs w:val="24"/>
              </w:rPr>
            </w:pPr>
            <w:r>
              <w:rPr>
                <w:sz w:val="24"/>
                <w:szCs w:val="24"/>
              </w:rPr>
              <w:t>4.</w:t>
            </w:r>
            <w:r>
              <w:rPr>
                <w:rFonts w:hint="eastAsia"/>
                <w:sz w:val="24"/>
                <w:szCs w:val="24"/>
              </w:rPr>
              <w:t>办学条件</w:t>
            </w:r>
          </w:p>
        </w:tc>
        <w:tc>
          <w:tcPr>
            <w:tcW w:w="4037" w:type="dxa"/>
            <w:vAlign w:val="center"/>
          </w:tcPr>
          <w:p>
            <w:pPr>
              <w:rPr>
                <w:rFonts w:cs="Times New Roman" w:asciiTheme="minorEastAsia" w:hAnsiTheme="minorEastAsia"/>
                <w:color w:val="000000"/>
                <w:sz w:val="24"/>
                <w:szCs w:val="24"/>
              </w:rPr>
            </w:pPr>
            <w:r>
              <w:rPr>
                <w:sz w:val="24"/>
                <w:szCs w:val="24"/>
              </w:rPr>
              <w:t>4.1*</w:t>
            </w:r>
            <w:r>
              <w:rPr>
                <w:rFonts w:hint="eastAsia"/>
                <w:sz w:val="24"/>
                <w:szCs w:val="24"/>
              </w:rPr>
              <w:t>实验实习</w:t>
            </w:r>
          </w:p>
        </w:tc>
        <w:tc>
          <w:tcPr>
            <w:tcW w:w="3246" w:type="dxa"/>
            <w:vMerge w:val="restart"/>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color w:val="000000"/>
                <w:sz w:val="24"/>
                <w:szCs w:val="24"/>
              </w:rPr>
            </w:pPr>
            <w:r>
              <w:rPr>
                <w:sz w:val="24"/>
                <w:szCs w:val="24"/>
              </w:rPr>
              <w:t>4.2</w:t>
            </w:r>
            <w:r>
              <w:rPr>
                <w:rFonts w:hint="eastAsia"/>
                <w:sz w:val="24"/>
                <w:szCs w:val="24"/>
              </w:rPr>
              <w:t>图书资料</w:t>
            </w:r>
          </w:p>
        </w:tc>
        <w:tc>
          <w:tcPr>
            <w:tcW w:w="3246" w:type="dxa"/>
            <w:vMerge w:val="continue"/>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rPr>
                <w:rFonts w:cs="Times New Roman" w:asciiTheme="minorEastAsia" w:hAnsiTheme="minorEastAsia"/>
                <w:bCs/>
                <w:color w:val="000000"/>
                <w:sz w:val="24"/>
                <w:szCs w:val="24"/>
              </w:rPr>
            </w:pPr>
            <w:r>
              <w:rPr>
                <w:sz w:val="24"/>
                <w:szCs w:val="24"/>
              </w:rPr>
              <w:t>4.3</w:t>
            </w:r>
            <w:r>
              <w:rPr>
                <w:rFonts w:hint="eastAsia"/>
                <w:sz w:val="24"/>
                <w:szCs w:val="24"/>
              </w:rPr>
              <w:t>教学经费</w:t>
            </w:r>
          </w:p>
        </w:tc>
        <w:tc>
          <w:tcPr>
            <w:tcW w:w="3246" w:type="dxa"/>
            <w:vMerge w:val="continue"/>
            <w:vAlign w:val="center"/>
          </w:tcPr>
          <w:p>
            <w:pPr>
              <w:spacing w:line="220" w:lineRule="exact"/>
              <w:rPr>
                <w:rFonts w:cs="Times New Roman" w:asciiTheme="minorEastAsia" w:hAnsiTheme="minorEastAsia"/>
                <w:color w:val="000000"/>
                <w:sz w:val="24"/>
                <w:szCs w:val="24"/>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restart"/>
            <w:shd w:val="clear" w:color="auto" w:fill="auto"/>
            <w:vAlign w:val="center"/>
          </w:tcPr>
          <w:p>
            <w:pPr>
              <w:spacing w:line="440" w:lineRule="exact"/>
              <w:jc w:val="center"/>
              <w:rPr>
                <w:rFonts w:cs="Times New Roman" w:asciiTheme="minorEastAsia" w:hAnsiTheme="minorEastAsia"/>
                <w:color w:val="000000"/>
                <w:sz w:val="24"/>
                <w:szCs w:val="24"/>
              </w:rPr>
            </w:pPr>
            <w:r>
              <w:rPr>
                <w:sz w:val="24"/>
                <w:szCs w:val="24"/>
              </w:rPr>
              <w:t>5.</w:t>
            </w:r>
            <w:r>
              <w:rPr>
                <w:rFonts w:hint="eastAsia"/>
                <w:sz w:val="24"/>
                <w:szCs w:val="24"/>
              </w:rPr>
              <w:t>质量管理</w:t>
            </w:r>
          </w:p>
        </w:tc>
        <w:tc>
          <w:tcPr>
            <w:tcW w:w="4037" w:type="dxa"/>
            <w:vAlign w:val="center"/>
          </w:tcPr>
          <w:p>
            <w:pPr>
              <w:spacing w:line="440" w:lineRule="exact"/>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5.1教学规范及制度建设</w:t>
            </w:r>
          </w:p>
        </w:tc>
        <w:tc>
          <w:tcPr>
            <w:tcW w:w="3246" w:type="dxa"/>
            <w:vMerge w:val="restart"/>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shd w:val="clear" w:color="auto" w:fill="auto"/>
            <w:vAlign w:val="center"/>
          </w:tcPr>
          <w:p>
            <w:pPr>
              <w:spacing w:line="440" w:lineRule="exact"/>
              <w:jc w:val="center"/>
              <w:rPr>
                <w:rFonts w:cs="Times New Roman" w:asciiTheme="minorEastAsia" w:hAnsiTheme="minorEastAsia"/>
                <w:color w:val="000000"/>
                <w:sz w:val="24"/>
                <w:szCs w:val="24"/>
              </w:rPr>
            </w:pPr>
          </w:p>
        </w:tc>
        <w:tc>
          <w:tcPr>
            <w:tcW w:w="4037" w:type="dxa"/>
            <w:vAlign w:val="center"/>
          </w:tcPr>
          <w:p>
            <w:pPr>
              <w:spacing w:line="440" w:lineRule="exact"/>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5.2*质量监控</w:t>
            </w:r>
          </w:p>
        </w:tc>
        <w:tc>
          <w:tcPr>
            <w:tcW w:w="3246" w:type="dxa"/>
            <w:vMerge w:val="continue"/>
            <w:shd w:val="clear" w:color="auto" w:fill="auto"/>
            <w:vAlign w:val="center"/>
          </w:tcPr>
          <w:p>
            <w:pPr>
              <w:spacing w:line="220" w:lineRule="exac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restart"/>
            <w:vAlign w:val="center"/>
          </w:tcPr>
          <w:p>
            <w:pPr>
              <w:spacing w:line="440" w:lineRule="exact"/>
              <w:jc w:val="center"/>
              <w:rPr>
                <w:rFonts w:cs="Times New Roman" w:asciiTheme="minorEastAsia" w:hAnsiTheme="minorEastAsia"/>
                <w:sz w:val="24"/>
                <w:szCs w:val="24"/>
              </w:rPr>
            </w:pPr>
            <w:r>
              <w:rPr>
                <w:sz w:val="24"/>
                <w:szCs w:val="24"/>
              </w:rPr>
              <w:t>6.</w:t>
            </w:r>
            <w:r>
              <w:rPr>
                <w:rFonts w:hint="eastAsia"/>
                <w:sz w:val="24"/>
                <w:szCs w:val="24"/>
              </w:rPr>
              <w:t>教学效果</w:t>
            </w:r>
          </w:p>
        </w:tc>
        <w:tc>
          <w:tcPr>
            <w:tcW w:w="4037" w:type="dxa"/>
            <w:vAlign w:val="center"/>
          </w:tcPr>
          <w:p>
            <w:pPr>
              <w:rPr>
                <w:sz w:val="24"/>
                <w:szCs w:val="24"/>
              </w:rPr>
            </w:pPr>
            <w:r>
              <w:rPr>
                <w:sz w:val="24"/>
                <w:szCs w:val="24"/>
              </w:rPr>
              <w:t>6.1</w:t>
            </w:r>
            <w:r>
              <w:rPr>
                <w:rFonts w:hint="eastAsia"/>
                <w:sz w:val="24"/>
                <w:szCs w:val="24"/>
              </w:rPr>
              <w:t>基本素养</w:t>
            </w:r>
          </w:p>
        </w:tc>
        <w:tc>
          <w:tcPr>
            <w:tcW w:w="3246" w:type="dxa"/>
            <w:vMerge w:val="restart"/>
            <w:vAlign w:val="center"/>
          </w:tcPr>
          <w:p>
            <w:pPr>
              <w:spacing w:line="220" w:lineRule="exact"/>
              <w:jc w:val="left"/>
              <w:rPr>
                <w:rFonts w:cs="Times New Roman" w:asciiTheme="minorEastAsia" w:hAnsiTheme="minorEastAsia"/>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left"/>
              <w:rPr>
                <w:rFonts w:cs="Times New Roman" w:asciiTheme="minorEastAsia" w:hAnsiTheme="minorEastAsia"/>
                <w:sz w:val="24"/>
                <w:szCs w:val="24"/>
              </w:rPr>
            </w:pPr>
          </w:p>
        </w:tc>
        <w:tc>
          <w:tcPr>
            <w:tcW w:w="4037" w:type="dxa"/>
            <w:vAlign w:val="center"/>
          </w:tcPr>
          <w:p>
            <w:pPr>
              <w:rPr>
                <w:sz w:val="24"/>
                <w:szCs w:val="24"/>
              </w:rPr>
            </w:pPr>
            <w:r>
              <w:rPr>
                <w:rFonts w:hint="eastAsia"/>
                <w:sz w:val="24"/>
                <w:szCs w:val="24"/>
              </w:rPr>
              <w:t>6.2学风</w:t>
            </w:r>
          </w:p>
        </w:tc>
        <w:tc>
          <w:tcPr>
            <w:tcW w:w="3246" w:type="dxa"/>
            <w:vMerge w:val="continue"/>
            <w:vAlign w:val="center"/>
          </w:tcPr>
          <w:p>
            <w:pPr>
              <w:spacing w:line="220" w:lineRule="exact"/>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left"/>
              <w:rPr>
                <w:rFonts w:cs="Times New Roman" w:asciiTheme="minorEastAsia" w:hAnsiTheme="minorEastAsia"/>
                <w:sz w:val="24"/>
                <w:szCs w:val="24"/>
              </w:rPr>
            </w:pPr>
          </w:p>
        </w:tc>
        <w:tc>
          <w:tcPr>
            <w:tcW w:w="4037" w:type="dxa"/>
            <w:vAlign w:val="center"/>
          </w:tcPr>
          <w:p>
            <w:pPr>
              <w:rPr>
                <w:sz w:val="24"/>
                <w:szCs w:val="24"/>
              </w:rPr>
            </w:pPr>
            <w:r>
              <w:rPr>
                <w:rFonts w:hint="eastAsia"/>
                <w:sz w:val="24"/>
                <w:szCs w:val="24"/>
              </w:rPr>
              <w:t>6.3学业成绩及综合素质</w:t>
            </w:r>
          </w:p>
        </w:tc>
        <w:tc>
          <w:tcPr>
            <w:tcW w:w="3246" w:type="dxa"/>
            <w:vMerge w:val="continue"/>
            <w:vAlign w:val="center"/>
          </w:tcPr>
          <w:p>
            <w:pPr>
              <w:tabs>
                <w:tab w:val="left" w:pos="900"/>
              </w:tabs>
              <w:spacing w:line="220" w:lineRule="exact"/>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left"/>
              <w:rPr>
                <w:rFonts w:cs="Times New Roman" w:asciiTheme="minorEastAsia" w:hAnsiTheme="minorEastAsia"/>
                <w:color w:val="000000"/>
                <w:sz w:val="24"/>
                <w:szCs w:val="24"/>
              </w:rPr>
            </w:pPr>
          </w:p>
        </w:tc>
        <w:tc>
          <w:tcPr>
            <w:tcW w:w="4037" w:type="dxa"/>
            <w:vAlign w:val="center"/>
          </w:tcPr>
          <w:p>
            <w:pPr>
              <w:rPr>
                <w:sz w:val="24"/>
                <w:szCs w:val="24"/>
              </w:rPr>
            </w:pPr>
            <w:r>
              <w:rPr>
                <w:rFonts w:hint="eastAsia"/>
                <w:sz w:val="24"/>
                <w:szCs w:val="24"/>
              </w:rPr>
              <w:t>6.4毕业设计（论文）</w:t>
            </w:r>
          </w:p>
        </w:tc>
        <w:tc>
          <w:tcPr>
            <w:tcW w:w="3246" w:type="dxa"/>
            <w:vMerge w:val="continue"/>
            <w:vAlign w:val="center"/>
          </w:tcPr>
          <w:p>
            <w:pPr>
              <w:tabs>
                <w:tab w:val="left" w:pos="900"/>
              </w:tabs>
              <w:spacing w:line="220" w:lineRule="exact"/>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7" w:type="dxa"/>
            <w:vMerge w:val="continue"/>
            <w:vAlign w:val="center"/>
          </w:tcPr>
          <w:p>
            <w:pPr>
              <w:spacing w:line="440" w:lineRule="exact"/>
              <w:jc w:val="left"/>
              <w:rPr>
                <w:rFonts w:cs="Times New Roman" w:asciiTheme="minorEastAsia" w:hAnsiTheme="minorEastAsia"/>
                <w:color w:val="000000"/>
                <w:sz w:val="24"/>
                <w:szCs w:val="24"/>
              </w:rPr>
            </w:pPr>
          </w:p>
        </w:tc>
        <w:tc>
          <w:tcPr>
            <w:tcW w:w="4037" w:type="dxa"/>
            <w:vAlign w:val="center"/>
          </w:tcPr>
          <w:p>
            <w:pPr>
              <w:rPr>
                <w:sz w:val="24"/>
                <w:szCs w:val="24"/>
              </w:rPr>
            </w:pPr>
            <w:r>
              <w:rPr>
                <w:rFonts w:hint="eastAsia"/>
                <w:sz w:val="24"/>
                <w:szCs w:val="24"/>
              </w:rPr>
              <w:t>6.5学生成长与社会评价</w:t>
            </w:r>
          </w:p>
        </w:tc>
        <w:tc>
          <w:tcPr>
            <w:tcW w:w="3246" w:type="dxa"/>
            <w:vMerge w:val="continue"/>
            <w:vAlign w:val="center"/>
          </w:tcPr>
          <w:p>
            <w:pPr>
              <w:tabs>
                <w:tab w:val="left" w:pos="900"/>
              </w:tabs>
              <w:spacing w:line="220" w:lineRule="exact"/>
              <w:rPr>
                <w:rFonts w:cs="Times New Roman" w:asciiTheme="minorEastAsia" w:hAnsi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897" w:type="dxa"/>
            <w:vAlign w:val="center"/>
          </w:tcPr>
          <w:p>
            <w:pPr>
              <w:spacing w:line="440" w:lineRule="exact"/>
              <w:jc w:val="center"/>
              <w:rPr>
                <w:rFonts w:cs="Times New Roman" w:asciiTheme="minorEastAsia" w:hAnsiTheme="minorEastAsia"/>
                <w:b/>
                <w:color w:val="000000"/>
                <w:sz w:val="24"/>
                <w:szCs w:val="24"/>
              </w:rPr>
            </w:pPr>
            <w:r>
              <w:rPr>
                <w:rFonts w:hint="eastAsia" w:cs="Times New Roman" w:asciiTheme="minorEastAsia" w:hAnsiTheme="minorEastAsia"/>
                <w:b/>
                <w:color w:val="000000"/>
                <w:sz w:val="24"/>
                <w:szCs w:val="24"/>
              </w:rPr>
              <w:t>考察结论</w:t>
            </w:r>
          </w:p>
        </w:tc>
        <w:tc>
          <w:tcPr>
            <w:tcW w:w="7283" w:type="dxa"/>
            <w:gridSpan w:val="2"/>
            <w:vAlign w:val="center"/>
          </w:tcPr>
          <w:p>
            <w:pPr>
              <w:spacing w:line="440" w:lineRule="exact"/>
              <w:jc w:val="center"/>
              <w:rPr>
                <w:rFonts w:cs="Times New Roman" w:asciiTheme="minorEastAsia" w:hAnsiTheme="minorEastAsia"/>
                <w:b/>
                <w:color w:val="000000"/>
                <w:sz w:val="24"/>
                <w:szCs w:val="24"/>
              </w:rPr>
            </w:pPr>
            <w:r>
              <w:rPr>
                <w:rFonts w:hint="eastAsia" w:cs="Times New Roman" w:asciiTheme="minorEastAsia" w:hAnsiTheme="minorEastAsia"/>
                <w:b/>
                <w:color w:val="000000"/>
                <w:sz w:val="24"/>
                <w:szCs w:val="24"/>
              </w:rPr>
              <w:t>通过□    整改□</w:t>
            </w:r>
          </w:p>
        </w:tc>
      </w:tr>
    </w:tbl>
    <w:p>
      <w:pPr>
        <w:spacing w:line="500" w:lineRule="exact"/>
        <w:ind w:firstLine="464" w:firstLineChars="200"/>
        <w:jc w:val="center"/>
        <w:rPr>
          <w:rFonts w:ascii="黑体" w:hAnsi="黑体" w:eastAsia="黑体"/>
          <w:b/>
          <w:sz w:val="28"/>
          <w:szCs w:val="28"/>
        </w:rPr>
      </w:pPr>
      <w:r>
        <w:rPr>
          <w:rFonts w:hint="eastAsia" w:ascii="仿宋_GB2312" w:hAnsi="黑体" w:eastAsia="仿宋_GB2312" w:cs="Times New Roman"/>
          <w:spacing w:val="-4"/>
          <w:sz w:val="24"/>
          <w:szCs w:val="24"/>
        </w:rPr>
        <w:t>备注：专家需要对其主要负责和辅助负责的每个专业分别撰写一份评价意见。</w:t>
      </w:r>
    </w:p>
    <w:sectPr>
      <w:footerReference r:id="rId11" w:type="default"/>
      <w:footerReference r:id="rId12" w:type="even"/>
      <w:pgSz w:w="11906" w:h="16838"/>
      <w:pgMar w:top="1531" w:right="1474" w:bottom="1418" w:left="147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AB4301-9FC9-44A9-A036-E19DCFCF47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05B3B8-AA9A-4A40-AFFF-2192874919F7}"/>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3" w:fontKey="{CBFF6CE4-C18A-41B0-928E-6450E764CB19}"/>
  </w:font>
  <w:font w:name="方正小标宋简体">
    <w:panose1 w:val="02000000000000000000"/>
    <w:charset w:val="86"/>
    <w:family w:val="script"/>
    <w:pitch w:val="default"/>
    <w:sig w:usb0="00000001" w:usb1="08000000" w:usb2="00000000" w:usb3="00000000" w:csb0="00040000" w:csb1="00000000"/>
    <w:embedRegular r:id="rId4" w:fontKey="{7CF62C27-C489-4692-AC65-7EE75CA1F2C4}"/>
  </w:font>
  <w:font w:name="仿宋_GB2312">
    <w:altName w:val="仿宋"/>
    <w:panose1 w:val="00000000000000000000"/>
    <w:charset w:val="86"/>
    <w:family w:val="modern"/>
    <w:pitch w:val="default"/>
    <w:sig w:usb0="00000000" w:usb1="00000000" w:usb2="00000010" w:usb3="00000000" w:csb0="00040000" w:csb1="00000000"/>
    <w:embedRegular r:id="rId5" w:fontKey="{F1E17E54-E939-4C3A-BA4A-647CE63CC236}"/>
  </w:font>
  <w:font w:name="楷体_GB2312">
    <w:altName w:val="楷体"/>
    <w:panose1 w:val="00000000000000000000"/>
    <w:charset w:val="86"/>
    <w:family w:val="modern"/>
    <w:pitch w:val="default"/>
    <w:sig w:usb0="00000000" w:usb1="00000000" w:usb2="00000010" w:usb3="00000000" w:csb0="00040000" w:csb1="00000000"/>
    <w:embedRegular r:id="rId6" w:fontKey="{FBC16178-3A7C-4F79-A018-1A484FFD05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566554"/>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647224"/>
    </w:sdtPr>
    <w:sdtContent>
      <w:p>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91875911"/>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91875911"/>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9588732" o:spid="_x0000_s3075" o:spt="136" type="#_x0000_t136" style="position:absolute;left:0pt;height:205.15pt;width:410.3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SEEI"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29588731" o:spid="_x0000_s3073" o:spt="136" type="#_x0000_t136" style="position:absolute;left:0pt;height:205.15pt;width:410.3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SEEI"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8" o:spid="_x0000_s3078" o:spt="136" type="#_x0000_t136" style="position:absolute;left:0pt;height:205.15pt;width:410.3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SEEI"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6" o:spid="_x0000_s3076" o:spt="136" type="#_x0000_t136" style="position:absolute;left:0pt;height:205.15pt;width:410.3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SEEI"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24D20"/>
    <w:multiLevelType w:val="singleLevel"/>
    <w:tmpl w:val="82424D20"/>
    <w:lvl w:ilvl="0" w:tentative="0">
      <w:start w:val="1"/>
      <w:numFmt w:val="decimal"/>
      <w:suff w:val="nothing"/>
      <w:lvlText w:val="%1."/>
      <w:lvlJc w:val="left"/>
      <w:pPr>
        <w:ind w:left="0" w:firstLine="0"/>
      </w:pPr>
    </w:lvl>
  </w:abstractNum>
  <w:abstractNum w:abstractNumId="1">
    <w:nsid w:val="BF66B3DE"/>
    <w:multiLevelType w:val="singleLevel"/>
    <w:tmpl w:val="BF66B3DE"/>
    <w:lvl w:ilvl="0" w:tentative="0">
      <w:start w:val="1"/>
      <w:numFmt w:val="decimal"/>
      <w:suff w:val="nothing"/>
      <w:lvlText w:val="%1."/>
      <w:lvlJc w:val="left"/>
      <w:pPr>
        <w:ind w:left="0" w:firstLine="0"/>
      </w:pPr>
    </w:lvl>
  </w:abstractNum>
  <w:abstractNum w:abstractNumId="2">
    <w:nsid w:val="73B88C45"/>
    <w:multiLevelType w:val="singleLevel"/>
    <w:tmpl w:val="73B88C45"/>
    <w:lvl w:ilvl="0" w:tentative="0">
      <w:start w:val="1"/>
      <w:numFmt w:val="decimal"/>
      <w:suff w:val="nothing"/>
      <w:lvlText w:val="%1."/>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xNGI1MGQ0Y2JjMGY2NzIzNjdhMWFhNjI2YmI0YTAifQ=="/>
  </w:docVars>
  <w:rsids>
    <w:rsidRoot w:val="00E238AA"/>
    <w:rsid w:val="0000132C"/>
    <w:rsid w:val="00001CCA"/>
    <w:rsid w:val="00003604"/>
    <w:rsid w:val="0000756C"/>
    <w:rsid w:val="000120FF"/>
    <w:rsid w:val="00014026"/>
    <w:rsid w:val="000167B4"/>
    <w:rsid w:val="00017579"/>
    <w:rsid w:val="00017A46"/>
    <w:rsid w:val="000213A5"/>
    <w:rsid w:val="00024AFD"/>
    <w:rsid w:val="000279AA"/>
    <w:rsid w:val="0003167B"/>
    <w:rsid w:val="00032E8D"/>
    <w:rsid w:val="000337B4"/>
    <w:rsid w:val="00036069"/>
    <w:rsid w:val="000410CF"/>
    <w:rsid w:val="00041B7D"/>
    <w:rsid w:val="00041D17"/>
    <w:rsid w:val="000443C4"/>
    <w:rsid w:val="00044C82"/>
    <w:rsid w:val="000463E6"/>
    <w:rsid w:val="00052A40"/>
    <w:rsid w:val="00053EC7"/>
    <w:rsid w:val="0005520F"/>
    <w:rsid w:val="00055A4A"/>
    <w:rsid w:val="00056131"/>
    <w:rsid w:val="00060561"/>
    <w:rsid w:val="000608A9"/>
    <w:rsid w:val="00060947"/>
    <w:rsid w:val="000618D8"/>
    <w:rsid w:val="000626CE"/>
    <w:rsid w:val="00063146"/>
    <w:rsid w:val="00064671"/>
    <w:rsid w:val="00064C3E"/>
    <w:rsid w:val="0006574E"/>
    <w:rsid w:val="0006625D"/>
    <w:rsid w:val="00066582"/>
    <w:rsid w:val="000666CA"/>
    <w:rsid w:val="000702F9"/>
    <w:rsid w:val="0007055A"/>
    <w:rsid w:val="000735A9"/>
    <w:rsid w:val="0007695C"/>
    <w:rsid w:val="00076B27"/>
    <w:rsid w:val="00080AFF"/>
    <w:rsid w:val="00081323"/>
    <w:rsid w:val="000835A5"/>
    <w:rsid w:val="00087DBB"/>
    <w:rsid w:val="000936A2"/>
    <w:rsid w:val="00094F58"/>
    <w:rsid w:val="00095B9D"/>
    <w:rsid w:val="00095FAB"/>
    <w:rsid w:val="000A478D"/>
    <w:rsid w:val="000A6754"/>
    <w:rsid w:val="000A74E8"/>
    <w:rsid w:val="000B20F6"/>
    <w:rsid w:val="000B3055"/>
    <w:rsid w:val="000B413B"/>
    <w:rsid w:val="000B7B2D"/>
    <w:rsid w:val="000C1A1C"/>
    <w:rsid w:val="000C4A20"/>
    <w:rsid w:val="000D0691"/>
    <w:rsid w:val="000D42E6"/>
    <w:rsid w:val="000D444B"/>
    <w:rsid w:val="000D46CD"/>
    <w:rsid w:val="000E38CB"/>
    <w:rsid w:val="000E57AB"/>
    <w:rsid w:val="000E758C"/>
    <w:rsid w:val="000F15FB"/>
    <w:rsid w:val="000F1C25"/>
    <w:rsid w:val="000F5A40"/>
    <w:rsid w:val="00101B52"/>
    <w:rsid w:val="00104CF8"/>
    <w:rsid w:val="001068C6"/>
    <w:rsid w:val="00106EA3"/>
    <w:rsid w:val="001177AA"/>
    <w:rsid w:val="001205C1"/>
    <w:rsid w:val="00122706"/>
    <w:rsid w:val="001231A0"/>
    <w:rsid w:val="0012587B"/>
    <w:rsid w:val="00127CDD"/>
    <w:rsid w:val="001341DE"/>
    <w:rsid w:val="0013628A"/>
    <w:rsid w:val="00140805"/>
    <w:rsid w:val="0014169A"/>
    <w:rsid w:val="001474B5"/>
    <w:rsid w:val="00150BC6"/>
    <w:rsid w:val="00151376"/>
    <w:rsid w:val="00152DA5"/>
    <w:rsid w:val="001530F0"/>
    <w:rsid w:val="001545CD"/>
    <w:rsid w:val="0015483A"/>
    <w:rsid w:val="00155EB6"/>
    <w:rsid w:val="00156066"/>
    <w:rsid w:val="00156560"/>
    <w:rsid w:val="00161B03"/>
    <w:rsid w:val="00170B42"/>
    <w:rsid w:val="001714CE"/>
    <w:rsid w:val="001715C8"/>
    <w:rsid w:val="0017483B"/>
    <w:rsid w:val="00176A52"/>
    <w:rsid w:val="00177136"/>
    <w:rsid w:val="00182571"/>
    <w:rsid w:val="00184737"/>
    <w:rsid w:val="00196081"/>
    <w:rsid w:val="00197466"/>
    <w:rsid w:val="001A03C0"/>
    <w:rsid w:val="001A22D1"/>
    <w:rsid w:val="001B09D5"/>
    <w:rsid w:val="001B1CE2"/>
    <w:rsid w:val="001B64CA"/>
    <w:rsid w:val="001C242E"/>
    <w:rsid w:val="001C5776"/>
    <w:rsid w:val="001C58DE"/>
    <w:rsid w:val="001C6C31"/>
    <w:rsid w:val="001C7995"/>
    <w:rsid w:val="001D1D1B"/>
    <w:rsid w:val="001D6C88"/>
    <w:rsid w:val="001E6B47"/>
    <w:rsid w:val="001E72AE"/>
    <w:rsid w:val="001F0FA0"/>
    <w:rsid w:val="001F1A5B"/>
    <w:rsid w:val="001F4984"/>
    <w:rsid w:val="001F7B00"/>
    <w:rsid w:val="002029E4"/>
    <w:rsid w:val="00203A2C"/>
    <w:rsid w:val="00204617"/>
    <w:rsid w:val="00204C52"/>
    <w:rsid w:val="0020515A"/>
    <w:rsid w:val="0020530E"/>
    <w:rsid w:val="002075DC"/>
    <w:rsid w:val="00215775"/>
    <w:rsid w:val="00216E80"/>
    <w:rsid w:val="0021743F"/>
    <w:rsid w:val="002175B6"/>
    <w:rsid w:val="00217872"/>
    <w:rsid w:val="002348C3"/>
    <w:rsid w:val="00234ED1"/>
    <w:rsid w:val="002376BD"/>
    <w:rsid w:val="002427C5"/>
    <w:rsid w:val="002459A0"/>
    <w:rsid w:val="00245BD0"/>
    <w:rsid w:val="00252E4D"/>
    <w:rsid w:val="0025456D"/>
    <w:rsid w:val="0025553F"/>
    <w:rsid w:val="002610DB"/>
    <w:rsid w:val="00261843"/>
    <w:rsid w:val="00265ABD"/>
    <w:rsid w:val="002661C6"/>
    <w:rsid w:val="0027468C"/>
    <w:rsid w:val="002810C8"/>
    <w:rsid w:val="0029055C"/>
    <w:rsid w:val="002A1139"/>
    <w:rsid w:val="002A2D1A"/>
    <w:rsid w:val="002B1228"/>
    <w:rsid w:val="002B23C9"/>
    <w:rsid w:val="002B2531"/>
    <w:rsid w:val="002B418E"/>
    <w:rsid w:val="002B5EB6"/>
    <w:rsid w:val="002C1E59"/>
    <w:rsid w:val="002C25CE"/>
    <w:rsid w:val="002C26C3"/>
    <w:rsid w:val="002C536C"/>
    <w:rsid w:val="002C5AFC"/>
    <w:rsid w:val="002C7958"/>
    <w:rsid w:val="002C7E34"/>
    <w:rsid w:val="002D2697"/>
    <w:rsid w:val="002D6BE2"/>
    <w:rsid w:val="002D6C8F"/>
    <w:rsid w:val="002E60CB"/>
    <w:rsid w:val="002E6A46"/>
    <w:rsid w:val="002E781B"/>
    <w:rsid w:val="002F2680"/>
    <w:rsid w:val="0030344D"/>
    <w:rsid w:val="0030400D"/>
    <w:rsid w:val="00306E83"/>
    <w:rsid w:val="00312CE0"/>
    <w:rsid w:val="0031567A"/>
    <w:rsid w:val="003158B9"/>
    <w:rsid w:val="0031713E"/>
    <w:rsid w:val="003200DB"/>
    <w:rsid w:val="00320720"/>
    <w:rsid w:val="0032168F"/>
    <w:rsid w:val="00324397"/>
    <w:rsid w:val="003315F9"/>
    <w:rsid w:val="00331C01"/>
    <w:rsid w:val="0033487E"/>
    <w:rsid w:val="0034058C"/>
    <w:rsid w:val="003500CA"/>
    <w:rsid w:val="003502C5"/>
    <w:rsid w:val="00351641"/>
    <w:rsid w:val="00352E5E"/>
    <w:rsid w:val="0035346C"/>
    <w:rsid w:val="0035515D"/>
    <w:rsid w:val="003559D1"/>
    <w:rsid w:val="00361955"/>
    <w:rsid w:val="00363BFA"/>
    <w:rsid w:val="00364D29"/>
    <w:rsid w:val="00371901"/>
    <w:rsid w:val="00371C2F"/>
    <w:rsid w:val="003729B6"/>
    <w:rsid w:val="003752BC"/>
    <w:rsid w:val="00375B67"/>
    <w:rsid w:val="003815DF"/>
    <w:rsid w:val="00390037"/>
    <w:rsid w:val="00395248"/>
    <w:rsid w:val="00396D96"/>
    <w:rsid w:val="003B39A6"/>
    <w:rsid w:val="003B7349"/>
    <w:rsid w:val="003B743C"/>
    <w:rsid w:val="003C65C3"/>
    <w:rsid w:val="003C68B8"/>
    <w:rsid w:val="003C6DA5"/>
    <w:rsid w:val="003D091F"/>
    <w:rsid w:val="003D4B36"/>
    <w:rsid w:val="003D76DF"/>
    <w:rsid w:val="003E3BCA"/>
    <w:rsid w:val="003E44F0"/>
    <w:rsid w:val="003E4ADD"/>
    <w:rsid w:val="003E5E10"/>
    <w:rsid w:val="003F1CDB"/>
    <w:rsid w:val="003F3F58"/>
    <w:rsid w:val="003F492B"/>
    <w:rsid w:val="003F5F58"/>
    <w:rsid w:val="003F60C4"/>
    <w:rsid w:val="003F7B89"/>
    <w:rsid w:val="003F7FBA"/>
    <w:rsid w:val="004034DB"/>
    <w:rsid w:val="004138CC"/>
    <w:rsid w:val="0041510E"/>
    <w:rsid w:val="00415E8E"/>
    <w:rsid w:val="004206D9"/>
    <w:rsid w:val="004211A3"/>
    <w:rsid w:val="004220EC"/>
    <w:rsid w:val="00431726"/>
    <w:rsid w:val="004368AA"/>
    <w:rsid w:val="004409BE"/>
    <w:rsid w:val="00445C4E"/>
    <w:rsid w:val="00446F51"/>
    <w:rsid w:val="00450B6C"/>
    <w:rsid w:val="004527C0"/>
    <w:rsid w:val="0045507F"/>
    <w:rsid w:val="0045769F"/>
    <w:rsid w:val="00460C30"/>
    <w:rsid w:val="00462158"/>
    <w:rsid w:val="004622EF"/>
    <w:rsid w:val="00462855"/>
    <w:rsid w:val="00467355"/>
    <w:rsid w:val="00471335"/>
    <w:rsid w:val="004731E0"/>
    <w:rsid w:val="00474BB6"/>
    <w:rsid w:val="00475FB4"/>
    <w:rsid w:val="00477A21"/>
    <w:rsid w:val="00487BDD"/>
    <w:rsid w:val="00487CA8"/>
    <w:rsid w:val="0049102F"/>
    <w:rsid w:val="004A2FB0"/>
    <w:rsid w:val="004A477D"/>
    <w:rsid w:val="004B1212"/>
    <w:rsid w:val="004C358E"/>
    <w:rsid w:val="004D1AE1"/>
    <w:rsid w:val="004D249B"/>
    <w:rsid w:val="004D2FD9"/>
    <w:rsid w:val="004D5181"/>
    <w:rsid w:val="004E1D8D"/>
    <w:rsid w:val="004E232C"/>
    <w:rsid w:val="004F0446"/>
    <w:rsid w:val="004F08A2"/>
    <w:rsid w:val="00503D39"/>
    <w:rsid w:val="0050520F"/>
    <w:rsid w:val="005119A5"/>
    <w:rsid w:val="00514C9F"/>
    <w:rsid w:val="00517CAC"/>
    <w:rsid w:val="005206D7"/>
    <w:rsid w:val="00523181"/>
    <w:rsid w:val="00524450"/>
    <w:rsid w:val="00526E10"/>
    <w:rsid w:val="00531068"/>
    <w:rsid w:val="00537325"/>
    <w:rsid w:val="005421FB"/>
    <w:rsid w:val="005439A0"/>
    <w:rsid w:val="005452D5"/>
    <w:rsid w:val="0055302D"/>
    <w:rsid w:val="005542C0"/>
    <w:rsid w:val="00555726"/>
    <w:rsid w:val="005559A9"/>
    <w:rsid w:val="00555B53"/>
    <w:rsid w:val="00557955"/>
    <w:rsid w:val="005633E1"/>
    <w:rsid w:val="00571FB0"/>
    <w:rsid w:val="00572A4D"/>
    <w:rsid w:val="00575DF0"/>
    <w:rsid w:val="005763E3"/>
    <w:rsid w:val="00580FC6"/>
    <w:rsid w:val="005838C6"/>
    <w:rsid w:val="00585E1E"/>
    <w:rsid w:val="00586735"/>
    <w:rsid w:val="00586859"/>
    <w:rsid w:val="005900B0"/>
    <w:rsid w:val="00594C89"/>
    <w:rsid w:val="005953B4"/>
    <w:rsid w:val="00596624"/>
    <w:rsid w:val="005A32F8"/>
    <w:rsid w:val="005A561F"/>
    <w:rsid w:val="005A5E26"/>
    <w:rsid w:val="005A714C"/>
    <w:rsid w:val="005B10B9"/>
    <w:rsid w:val="005B5527"/>
    <w:rsid w:val="005B587F"/>
    <w:rsid w:val="005B74F4"/>
    <w:rsid w:val="005C00C0"/>
    <w:rsid w:val="005C10C4"/>
    <w:rsid w:val="005C1E05"/>
    <w:rsid w:val="005C36CC"/>
    <w:rsid w:val="005C61BB"/>
    <w:rsid w:val="005C620B"/>
    <w:rsid w:val="005C67D4"/>
    <w:rsid w:val="005C7A91"/>
    <w:rsid w:val="005C7FEC"/>
    <w:rsid w:val="005D07B5"/>
    <w:rsid w:val="005D0D3C"/>
    <w:rsid w:val="005D0E5D"/>
    <w:rsid w:val="005E028E"/>
    <w:rsid w:val="005E3DA0"/>
    <w:rsid w:val="005E4BB5"/>
    <w:rsid w:val="005E5935"/>
    <w:rsid w:val="005E6CA6"/>
    <w:rsid w:val="005F351B"/>
    <w:rsid w:val="005F70FE"/>
    <w:rsid w:val="00600DBE"/>
    <w:rsid w:val="00603530"/>
    <w:rsid w:val="006037B6"/>
    <w:rsid w:val="006070CD"/>
    <w:rsid w:val="00611679"/>
    <w:rsid w:val="006116EA"/>
    <w:rsid w:val="0061234D"/>
    <w:rsid w:val="00612CC6"/>
    <w:rsid w:val="00613ED8"/>
    <w:rsid w:val="00617879"/>
    <w:rsid w:val="00620AE7"/>
    <w:rsid w:val="00622146"/>
    <w:rsid w:val="006253CC"/>
    <w:rsid w:val="0062596B"/>
    <w:rsid w:val="006269CB"/>
    <w:rsid w:val="00633854"/>
    <w:rsid w:val="00634C55"/>
    <w:rsid w:val="00645C9F"/>
    <w:rsid w:val="00646B6D"/>
    <w:rsid w:val="00646DDA"/>
    <w:rsid w:val="00654967"/>
    <w:rsid w:val="00656B5E"/>
    <w:rsid w:val="006570A6"/>
    <w:rsid w:val="00661A44"/>
    <w:rsid w:val="00662152"/>
    <w:rsid w:val="006646D0"/>
    <w:rsid w:val="006654C9"/>
    <w:rsid w:val="00675D3D"/>
    <w:rsid w:val="006827CD"/>
    <w:rsid w:val="00685CA6"/>
    <w:rsid w:val="006905B0"/>
    <w:rsid w:val="00690A2C"/>
    <w:rsid w:val="00691E28"/>
    <w:rsid w:val="00692A23"/>
    <w:rsid w:val="00692D67"/>
    <w:rsid w:val="006962D2"/>
    <w:rsid w:val="006A7D11"/>
    <w:rsid w:val="006B1619"/>
    <w:rsid w:val="006B461B"/>
    <w:rsid w:val="006B6632"/>
    <w:rsid w:val="006B6CEA"/>
    <w:rsid w:val="006B7FCE"/>
    <w:rsid w:val="006C183C"/>
    <w:rsid w:val="006C20D6"/>
    <w:rsid w:val="006C5424"/>
    <w:rsid w:val="006D201A"/>
    <w:rsid w:val="006D2CCD"/>
    <w:rsid w:val="006D3CD1"/>
    <w:rsid w:val="006D52A8"/>
    <w:rsid w:val="006D5788"/>
    <w:rsid w:val="006D61B1"/>
    <w:rsid w:val="006E0920"/>
    <w:rsid w:val="006E6976"/>
    <w:rsid w:val="006E7696"/>
    <w:rsid w:val="006F1458"/>
    <w:rsid w:val="0070148D"/>
    <w:rsid w:val="00703144"/>
    <w:rsid w:val="007126B9"/>
    <w:rsid w:val="00721DCF"/>
    <w:rsid w:val="00723A9A"/>
    <w:rsid w:val="00727D44"/>
    <w:rsid w:val="00736DDF"/>
    <w:rsid w:val="00740BF0"/>
    <w:rsid w:val="00742273"/>
    <w:rsid w:val="00744ECE"/>
    <w:rsid w:val="00747326"/>
    <w:rsid w:val="0075177F"/>
    <w:rsid w:val="00751A66"/>
    <w:rsid w:val="007526FC"/>
    <w:rsid w:val="00757B00"/>
    <w:rsid w:val="00757FA5"/>
    <w:rsid w:val="00760BA1"/>
    <w:rsid w:val="00761CA8"/>
    <w:rsid w:val="0076277E"/>
    <w:rsid w:val="00762F7E"/>
    <w:rsid w:val="00764BBE"/>
    <w:rsid w:val="007669A0"/>
    <w:rsid w:val="00774565"/>
    <w:rsid w:val="0077475A"/>
    <w:rsid w:val="007755ED"/>
    <w:rsid w:val="007822C7"/>
    <w:rsid w:val="00784736"/>
    <w:rsid w:val="00790AF5"/>
    <w:rsid w:val="00791335"/>
    <w:rsid w:val="00791ECE"/>
    <w:rsid w:val="00792244"/>
    <w:rsid w:val="007929F1"/>
    <w:rsid w:val="00792D11"/>
    <w:rsid w:val="007934A2"/>
    <w:rsid w:val="00797BE7"/>
    <w:rsid w:val="007A00C8"/>
    <w:rsid w:val="007A0CBF"/>
    <w:rsid w:val="007A453D"/>
    <w:rsid w:val="007A4E7D"/>
    <w:rsid w:val="007B304A"/>
    <w:rsid w:val="007B3E95"/>
    <w:rsid w:val="007B6257"/>
    <w:rsid w:val="007C5A4A"/>
    <w:rsid w:val="007D2C73"/>
    <w:rsid w:val="007D470B"/>
    <w:rsid w:val="007D54A2"/>
    <w:rsid w:val="007D5BFD"/>
    <w:rsid w:val="007D7107"/>
    <w:rsid w:val="007E0720"/>
    <w:rsid w:val="007E16E2"/>
    <w:rsid w:val="007E5E63"/>
    <w:rsid w:val="007E5F77"/>
    <w:rsid w:val="007E6A35"/>
    <w:rsid w:val="007E75DA"/>
    <w:rsid w:val="007F04B3"/>
    <w:rsid w:val="007F2A86"/>
    <w:rsid w:val="007F4424"/>
    <w:rsid w:val="007F570C"/>
    <w:rsid w:val="00801DBC"/>
    <w:rsid w:val="00803D18"/>
    <w:rsid w:val="00804987"/>
    <w:rsid w:val="0080692D"/>
    <w:rsid w:val="00806DC3"/>
    <w:rsid w:val="00810676"/>
    <w:rsid w:val="00812A5E"/>
    <w:rsid w:val="00813F67"/>
    <w:rsid w:val="00814F26"/>
    <w:rsid w:val="00815505"/>
    <w:rsid w:val="0081672B"/>
    <w:rsid w:val="008167A0"/>
    <w:rsid w:val="008216D5"/>
    <w:rsid w:val="0082312D"/>
    <w:rsid w:val="0082362A"/>
    <w:rsid w:val="00824BD9"/>
    <w:rsid w:val="008269D7"/>
    <w:rsid w:val="00827BCE"/>
    <w:rsid w:val="008321CA"/>
    <w:rsid w:val="008335EB"/>
    <w:rsid w:val="0083535E"/>
    <w:rsid w:val="00836A63"/>
    <w:rsid w:val="00842C26"/>
    <w:rsid w:val="0084323B"/>
    <w:rsid w:val="00851A09"/>
    <w:rsid w:val="00856B27"/>
    <w:rsid w:val="008572E1"/>
    <w:rsid w:val="00860A85"/>
    <w:rsid w:val="008614B9"/>
    <w:rsid w:val="00875DA6"/>
    <w:rsid w:val="00876511"/>
    <w:rsid w:val="00877201"/>
    <w:rsid w:val="00886A3B"/>
    <w:rsid w:val="00887370"/>
    <w:rsid w:val="00891294"/>
    <w:rsid w:val="00891A55"/>
    <w:rsid w:val="00896063"/>
    <w:rsid w:val="00897EDA"/>
    <w:rsid w:val="008A0CCB"/>
    <w:rsid w:val="008A366D"/>
    <w:rsid w:val="008A63DE"/>
    <w:rsid w:val="008A651E"/>
    <w:rsid w:val="008B4008"/>
    <w:rsid w:val="008B7DFD"/>
    <w:rsid w:val="008C1096"/>
    <w:rsid w:val="008C3C6A"/>
    <w:rsid w:val="008C7492"/>
    <w:rsid w:val="008D2D21"/>
    <w:rsid w:val="008D4E2C"/>
    <w:rsid w:val="008D5253"/>
    <w:rsid w:val="008D5FD1"/>
    <w:rsid w:val="008E316A"/>
    <w:rsid w:val="008E3384"/>
    <w:rsid w:val="008E73C7"/>
    <w:rsid w:val="008F00EB"/>
    <w:rsid w:val="008F0149"/>
    <w:rsid w:val="008F54DB"/>
    <w:rsid w:val="008F5571"/>
    <w:rsid w:val="008F71A3"/>
    <w:rsid w:val="008F7434"/>
    <w:rsid w:val="00902482"/>
    <w:rsid w:val="009036B7"/>
    <w:rsid w:val="00911755"/>
    <w:rsid w:val="0091336D"/>
    <w:rsid w:val="00913F5A"/>
    <w:rsid w:val="009201E7"/>
    <w:rsid w:val="009233FC"/>
    <w:rsid w:val="00926282"/>
    <w:rsid w:val="009268F3"/>
    <w:rsid w:val="00931F55"/>
    <w:rsid w:val="00942F4D"/>
    <w:rsid w:val="00945E02"/>
    <w:rsid w:val="00954525"/>
    <w:rsid w:val="00955DD5"/>
    <w:rsid w:val="0096233C"/>
    <w:rsid w:val="00962828"/>
    <w:rsid w:val="00965C8B"/>
    <w:rsid w:val="0097029A"/>
    <w:rsid w:val="00971E3B"/>
    <w:rsid w:val="0097257E"/>
    <w:rsid w:val="00974237"/>
    <w:rsid w:val="00974581"/>
    <w:rsid w:val="00975C3D"/>
    <w:rsid w:val="0098078C"/>
    <w:rsid w:val="009839AE"/>
    <w:rsid w:val="0098727A"/>
    <w:rsid w:val="009878D7"/>
    <w:rsid w:val="00994C75"/>
    <w:rsid w:val="009959D8"/>
    <w:rsid w:val="00997F28"/>
    <w:rsid w:val="009A05B3"/>
    <w:rsid w:val="009A19C2"/>
    <w:rsid w:val="009A1B6B"/>
    <w:rsid w:val="009A2697"/>
    <w:rsid w:val="009A4DFC"/>
    <w:rsid w:val="009A4E40"/>
    <w:rsid w:val="009A7C64"/>
    <w:rsid w:val="009C1395"/>
    <w:rsid w:val="009C3D0D"/>
    <w:rsid w:val="009C52C3"/>
    <w:rsid w:val="009C7377"/>
    <w:rsid w:val="009D0989"/>
    <w:rsid w:val="009D472E"/>
    <w:rsid w:val="009D619C"/>
    <w:rsid w:val="009E12EC"/>
    <w:rsid w:val="009E1B53"/>
    <w:rsid w:val="009E2DE7"/>
    <w:rsid w:val="009E2E3D"/>
    <w:rsid w:val="009E3109"/>
    <w:rsid w:val="009E72B2"/>
    <w:rsid w:val="009F17E6"/>
    <w:rsid w:val="009F250F"/>
    <w:rsid w:val="009F6275"/>
    <w:rsid w:val="00A00904"/>
    <w:rsid w:val="00A10B0F"/>
    <w:rsid w:val="00A12A7B"/>
    <w:rsid w:val="00A14FF0"/>
    <w:rsid w:val="00A17D01"/>
    <w:rsid w:val="00A20735"/>
    <w:rsid w:val="00A21B48"/>
    <w:rsid w:val="00A244C0"/>
    <w:rsid w:val="00A2732A"/>
    <w:rsid w:val="00A27AD4"/>
    <w:rsid w:val="00A3087A"/>
    <w:rsid w:val="00A31DF8"/>
    <w:rsid w:val="00A3278A"/>
    <w:rsid w:val="00A32DC0"/>
    <w:rsid w:val="00A34078"/>
    <w:rsid w:val="00A36266"/>
    <w:rsid w:val="00A37376"/>
    <w:rsid w:val="00A375C0"/>
    <w:rsid w:val="00A37D28"/>
    <w:rsid w:val="00A417C2"/>
    <w:rsid w:val="00A42F79"/>
    <w:rsid w:val="00A43C37"/>
    <w:rsid w:val="00A440D9"/>
    <w:rsid w:val="00A4574D"/>
    <w:rsid w:val="00A45E1A"/>
    <w:rsid w:val="00A4627D"/>
    <w:rsid w:val="00A46BEC"/>
    <w:rsid w:val="00A54D06"/>
    <w:rsid w:val="00A56BE3"/>
    <w:rsid w:val="00A622B5"/>
    <w:rsid w:val="00A66F13"/>
    <w:rsid w:val="00A67E71"/>
    <w:rsid w:val="00A747E3"/>
    <w:rsid w:val="00A75F2B"/>
    <w:rsid w:val="00A805DA"/>
    <w:rsid w:val="00A808F3"/>
    <w:rsid w:val="00A80A03"/>
    <w:rsid w:val="00A83124"/>
    <w:rsid w:val="00A83531"/>
    <w:rsid w:val="00A83EDF"/>
    <w:rsid w:val="00A853F0"/>
    <w:rsid w:val="00A856D0"/>
    <w:rsid w:val="00A878EB"/>
    <w:rsid w:val="00A9464B"/>
    <w:rsid w:val="00A961B2"/>
    <w:rsid w:val="00A96874"/>
    <w:rsid w:val="00A96DB7"/>
    <w:rsid w:val="00AA0DCD"/>
    <w:rsid w:val="00AA340F"/>
    <w:rsid w:val="00AA6519"/>
    <w:rsid w:val="00AA68C4"/>
    <w:rsid w:val="00AA6BFF"/>
    <w:rsid w:val="00AA73E0"/>
    <w:rsid w:val="00AB202C"/>
    <w:rsid w:val="00AB2778"/>
    <w:rsid w:val="00AB754A"/>
    <w:rsid w:val="00AB77D9"/>
    <w:rsid w:val="00AC1660"/>
    <w:rsid w:val="00AC57BF"/>
    <w:rsid w:val="00AC5B79"/>
    <w:rsid w:val="00AC7CC2"/>
    <w:rsid w:val="00AD1606"/>
    <w:rsid w:val="00AD372D"/>
    <w:rsid w:val="00AD3D82"/>
    <w:rsid w:val="00AD4CCB"/>
    <w:rsid w:val="00AD5749"/>
    <w:rsid w:val="00AE43D1"/>
    <w:rsid w:val="00AE5A84"/>
    <w:rsid w:val="00AF0E5D"/>
    <w:rsid w:val="00AF65F4"/>
    <w:rsid w:val="00AF66C6"/>
    <w:rsid w:val="00AF675A"/>
    <w:rsid w:val="00AF7868"/>
    <w:rsid w:val="00B01852"/>
    <w:rsid w:val="00B01F40"/>
    <w:rsid w:val="00B07601"/>
    <w:rsid w:val="00B07D3E"/>
    <w:rsid w:val="00B11277"/>
    <w:rsid w:val="00B15CD3"/>
    <w:rsid w:val="00B175C4"/>
    <w:rsid w:val="00B17F52"/>
    <w:rsid w:val="00B219D7"/>
    <w:rsid w:val="00B23A17"/>
    <w:rsid w:val="00B24249"/>
    <w:rsid w:val="00B2598B"/>
    <w:rsid w:val="00B25AD2"/>
    <w:rsid w:val="00B27A02"/>
    <w:rsid w:val="00B301C8"/>
    <w:rsid w:val="00B366B2"/>
    <w:rsid w:val="00B40643"/>
    <w:rsid w:val="00B431FF"/>
    <w:rsid w:val="00B43C14"/>
    <w:rsid w:val="00B4752B"/>
    <w:rsid w:val="00B47968"/>
    <w:rsid w:val="00B50C2B"/>
    <w:rsid w:val="00B51173"/>
    <w:rsid w:val="00B52C3A"/>
    <w:rsid w:val="00B5507A"/>
    <w:rsid w:val="00B61A39"/>
    <w:rsid w:val="00B624B7"/>
    <w:rsid w:val="00B62687"/>
    <w:rsid w:val="00B62D5E"/>
    <w:rsid w:val="00B646AA"/>
    <w:rsid w:val="00B72680"/>
    <w:rsid w:val="00B75B57"/>
    <w:rsid w:val="00B76431"/>
    <w:rsid w:val="00B7727C"/>
    <w:rsid w:val="00B77826"/>
    <w:rsid w:val="00B81C2A"/>
    <w:rsid w:val="00B9144A"/>
    <w:rsid w:val="00B92D29"/>
    <w:rsid w:val="00B94007"/>
    <w:rsid w:val="00B95CDF"/>
    <w:rsid w:val="00BA1638"/>
    <w:rsid w:val="00BA2A6A"/>
    <w:rsid w:val="00BA62AF"/>
    <w:rsid w:val="00BB2349"/>
    <w:rsid w:val="00BB46C3"/>
    <w:rsid w:val="00BB62D6"/>
    <w:rsid w:val="00BB65ED"/>
    <w:rsid w:val="00BC2C46"/>
    <w:rsid w:val="00BC4CB9"/>
    <w:rsid w:val="00BD14C7"/>
    <w:rsid w:val="00BD1FC9"/>
    <w:rsid w:val="00BD49F2"/>
    <w:rsid w:val="00BD4E1D"/>
    <w:rsid w:val="00BD6F83"/>
    <w:rsid w:val="00BE123A"/>
    <w:rsid w:val="00BE280F"/>
    <w:rsid w:val="00BE4544"/>
    <w:rsid w:val="00BF103B"/>
    <w:rsid w:val="00BF2882"/>
    <w:rsid w:val="00BF3CD1"/>
    <w:rsid w:val="00BF4133"/>
    <w:rsid w:val="00BF539F"/>
    <w:rsid w:val="00BF6F9E"/>
    <w:rsid w:val="00C04FDF"/>
    <w:rsid w:val="00C077B5"/>
    <w:rsid w:val="00C1020A"/>
    <w:rsid w:val="00C1173A"/>
    <w:rsid w:val="00C21079"/>
    <w:rsid w:val="00C2484C"/>
    <w:rsid w:val="00C2799A"/>
    <w:rsid w:val="00C27D4F"/>
    <w:rsid w:val="00C346E9"/>
    <w:rsid w:val="00C411DA"/>
    <w:rsid w:val="00C432C7"/>
    <w:rsid w:val="00C54207"/>
    <w:rsid w:val="00C54F48"/>
    <w:rsid w:val="00C55DBF"/>
    <w:rsid w:val="00C5733E"/>
    <w:rsid w:val="00C66854"/>
    <w:rsid w:val="00C66B20"/>
    <w:rsid w:val="00C70897"/>
    <w:rsid w:val="00C71ADF"/>
    <w:rsid w:val="00C76B76"/>
    <w:rsid w:val="00C76EED"/>
    <w:rsid w:val="00C77150"/>
    <w:rsid w:val="00C80B66"/>
    <w:rsid w:val="00C8334D"/>
    <w:rsid w:val="00C86BE2"/>
    <w:rsid w:val="00C86BF7"/>
    <w:rsid w:val="00C873C8"/>
    <w:rsid w:val="00C91CB1"/>
    <w:rsid w:val="00C94000"/>
    <w:rsid w:val="00C95C33"/>
    <w:rsid w:val="00CA204B"/>
    <w:rsid w:val="00CA410E"/>
    <w:rsid w:val="00CA5C80"/>
    <w:rsid w:val="00CB02CA"/>
    <w:rsid w:val="00CB4729"/>
    <w:rsid w:val="00CC0521"/>
    <w:rsid w:val="00CC0B27"/>
    <w:rsid w:val="00CC0C5F"/>
    <w:rsid w:val="00CC2716"/>
    <w:rsid w:val="00CC49A7"/>
    <w:rsid w:val="00CC5F7D"/>
    <w:rsid w:val="00CC728B"/>
    <w:rsid w:val="00CD2738"/>
    <w:rsid w:val="00CD2C65"/>
    <w:rsid w:val="00CD3B0C"/>
    <w:rsid w:val="00CD4800"/>
    <w:rsid w:val="00CD5401"/>
    <w:rsid w:val="00CD7749"/>
    <w:rsid w:val="00CE1EE2"/>
    <w:rsid w:val="00CE44A5"/>
    <w:rsid w:val="00CE5DFB"/>
    <w:rsid w:val="00CE611A"/>
    <w:rsid w:val="00CE7B4D"/>
    <w:rsid w:val="00CF1763"/>
    <w:rsid w:val="00CF5FDB"/>
    <w:rsid w:val="00CF65E5"/>
    <w:rsid w:val="00CF6EEA"/>
    <w:rsid w:val="00D0781F"/>
    <w:rsid w:val="00D1272F"/>
    <w:rsid w:val="00D1420E"/>
    <w:rsid w:val="00D168C3"/>
    <w:rsid w:val="00D202AB"/>
    <w:rsid w:val="00D21143"/>
    <w:rsid w:val="00D25F5E"/>
    <w:rsid w:val="00D35F0D"/>
    <w:rsid w:val="00D374A8"/>
    <w:rsid w:val="00D44C80"/>
    <w:rsid w:val="00D620CD"/>
    <w:rsid w:val="00D631E1"/>
    <w:rsid w:val="00D63959"/>
    <w:rsid w:val="00D676C5"/>
    <w:rsid w:val="00D7308A"/>
    <w:rsid w:val="00D77C71"/>
    <w:rsid w:val="00D81249"/>
    <w:rsid w:val="00D81EA2"/>
    <w:rsid w:val="00D84EA6"/>
    <w:rsid w:val="00D90EE4"/>
    <w:rsid w:val="00D9183E"/>
    <w:rsid w:val="00D93503"/>
    <w:rsid w:val="00D94E05"/>
    <w:rsid w:val="00DA5AD0"/>
    <w:rsid w:val="00DB5390"/>
    <w:rsid w:val="00DB57D3"/>
    <w:rsid w:val="00DC0CAF"/>
    <w:rsid w:val="00DC0FF3"/>
    <w:rsid w:val="00DC173D"/>
    <w:rsid w:val="00DC1955"/>
    <w:rsid w:val="00DC1D50"/>
    <w:rsid w:val="00DC7C47"/>
    <w:rsid w:val="00DD00C3"/>
    <w:rsid w:val="00DD30D5"/>
    <w:rsid w:val="00DD4083"/>
    <w:rsid w:val="00DE330A"/>
    <w:rsid w:val="00DE6AA8"/>
    <w:rsid w:val="00DF21D9"/>
    <w:rsid w:val="00E00A1B"/>
    <w:rsid w:val="00E03315"/>
    <w:rsid w:val="00E05B1E"/>
    <w:rsid w:val="00E075EA"/>
    <w:rsid w:val="00E13C30"/>
    <w:rsid w:val="00E1537F"/>
    <w:rsid w:val="00E22D3F"/>
    <w:rsid w:val="00E234FD"/>
    <w:rsid w:val="00E238AA"/>
    <w:rsid w:val="00E24E65"/>
    <w:rsid w:val="00E279C5"/>
    <w:rsid w:val="00E32716"/>
    <w:rsid w:val="00E337DA"/>
    <w:rsid w:val="00E34461"/>
    <w:rsid w:val="00E370F0"/>
    <w:rsid w:val="00E37F0E"/>
    <w:rsid w:val="00E41434"/>
    <w:rsid w:val="00E43287"/>
    <w:rsid w:val="00E50B38"/>
    <w:rsid w:val="00E52886"/>
    <w:rsid w:val="00E53C69"/>
    <w:rsid w:val="00E56798"/>
    <w:rsid w:val="00E5709A"/>
    <w:rsid w:val="00E576D1"/>
    <w:rsid w:val="00E6145E"/>
    <w:rsid w:val="00E709F1"/>
    <w:rsid w:val="00E72181"/>
    <w:rsid w:val="00E7378D"/>
    <w:rsid w:val="00E74AFB"/>
    <w:rsid w:val="00E76891"/>
    <w:rsid w:val="00E7758E"/>
    <w:rsid w:val="00E80FD7"/>
    <w:rsid w:val="00E8155A"/>
    <w:rsid w:val="00E82B74"/>
    <w:rsid w:val="00E913E3"/>
    <w:rsid w:val="00E93BAA"/>
    <w:rsid w:val="00E943B8"/>
    <w:rsid w:val="00E94EF1"/>
    <w:rsid w:val="00E969CD"/>
    <w:rsid w:val="00E96A2A"/>
    <w:rsid w:val="00E971B5"/>
    <w:rsid w:val="00EA0D0E"/>
    <w:rsid w:val="00EA241C"/>
    <w:rsid w:val="00EA4F46"/>
    <w:rsid w:val="00EA57AB"/>
    <w:rsid w:val="00EA7A43"/>
    <w:rsid w:val="00EA7F87"/>
    <w:rsid w:val="00EB3E0F"/>
    <w:rsid w:val="00EB5DA9"/>
    <w:rsid w:val="00EB73F6"/>
    <w:rsid w:val="00EB7806"/>
    <w:rsid w:val="00ED1020"/>
    <w:rsid w:val="00ED6757"/>
    <w:rsid w:val="00ED715F"/>
    <w:rsid w:val="00EE0C0E"/>
    <w:rsid w:val="00EE2EFF"/>
    <w:rsid w:val="00EF1298"/>
    <w:rsid w:val="00EF47DE"/>
    <w:rsid w:val="00EF4E72"/>
    <w:rsid w:val="00EF6279"/>
    <w:rsid w:val="00EF7134"/>
    <w:rsid w:val="00F218E4"/>
    <w:rsid w:val="00F23DD1"/>
    <w:rsid w:val="00F24D18"/>
    <w:rsid w:val="00F274F2"/>
    <w:rsid w:val="00F30069"/>
    <w:rsid w:val="00F32015"/>
    <w:rsid w:val="00F36722"/>
    <w:rsid w:val="00F375DE"/>
    <w:rsid w:val="00F37A3B"/>
    <w:rsid w:val="00F37E08"/>
    <w:rsid w:val="00F417FA"/>
    <w:rsid w:val="00F41900"/>
    <w:rsid w:val="00F42A0A"/>
    <w:rsid w:val="00F535AD"/>
    <w:rsid w:val="00F53FC6"/>
    <w:rsid w:val="00F56F9C"/>
    <w:rsid w:val="00F61674"/>
    <w:rsid w:val="00F61AD1"/>
    <w:rsid w:val="00F62CE8"/>
    <w:rsid w:val="00F65770"/>
    <w:rsid w:val="00F66081"/>
    <w:rsid w:val="00F726C3"/>
    <w:rsid w:val="00F75221"/>
    <w:rsid w:val="00F86307"/>
    <w:rsid w:val="00F90BC6"/>
    <w:rsid w:val="00F93725"/>
    <w:rsid w:val="00F974CE"/>
    <w:rsid w:val="00F97C7A"/>
    <w:rsid w:val="00FA0C03"/>
    <w:rsid w:val="00FA15E1"/>
    <w:rsid w:val="00FA5997"/>
    <w:rsid w:val="00FA5D1F"/>
    <w:rsid w:val="00FA7270"/>
    <w:rsid w:val="00FB674B"/>
    <w:rsid w:val="00FB6AFD"/>
    <w:rsid w:val="00FB6FDA"/>
    <w:rsid w:val="00FC7642"/>
    <w:rsid w:val="00FD040C"/>
    <w:rsid w:val="00FD5205"/>
    <w:rsid w:val="00FD6CD2"/>
    <w:rsid w:val="00FE4F97"/>
    <w:rsid w:val="00FE54F5"/>
    <w:rsid w:val="00FE718F"/>
    <w:rsid w:val="00FE7BC3"/>
    <w:rsid w:val="00FF48B2"/>
    <w:rsid w:val="00FF7FE1"/>
    <w:rsid w:val="022E1342"/>
    <w:rsid w:val="05244760"/>
    <w:rsid w:val="058F1702"/>
    <w:rsid w:val="05FB0B46"/>
    <w:rsid w:val="0637092D"/>
    <w:rsid w:val="06E71F00"/>
    <w:rsid w:val="081B54CF"/>
    <w:rsid w:val="08CE2541"/>
    <w:rsid w:val="0AB37C41"/>
    <w:rsid w:val="0ADA341F"/>
    <w:rsid w:val="0B183F48"/>
    <w:rsid w:val="0B1A381C"/>
    <w:rsid w:val="0D416598"/>
    <w:rsid w:val="0D6462E1"/>
    <w:rsid w:val="0ED9579C"/>
    <w:rsid w:val="0EE505E5"/>
    <w:rsid w:val="0FE8038D"/>
    <w:rsid w:val="0FFA00C0"/>
    <w:rsid w:val="10F90377"/>
    <w:rsid w:val="114A1C74"/>
    <w:rsid w:val="152564B1"/>
    <w:rsid w:val="15DD3297"/>
    <w:rsid w:val="17255A22"/>
    <w:rsid w:val="1DC57BAA"/>
    <w:rsid w:val="1F631FAC"/>
    <w:rsid w:val="1FE81CE3"/>
    <w:rsid w:val="20C22534"/>
    <w:rsid w:val="235D47D5"/>
    <w:rsid w:val="243D29AD"/>
    <w:rsid w:val="250E55C8"/>
    <w:rsid w:val="257244DC"/>
    <w:rsid w:val="25AE12D9"/>
    <w:rsid w:val="25C74149"/>
    <w:rsid w:val="25DC0551"/>
    <w:rsid w:val="26E1123A"/>
    <w:rsid w:val="274057F2"/>
    <w:rsid w:val="27757874"/>
    <w:rsid w:val="28FB4835"/>
    <w:rsid w:val="2A8E3487"/>
    <w:rsid w:val="2AFB6D6E"/>
    <w:rsid w:val="2B8E2C93"/>
    <w:rsid w:val="2C1D2D14"/>
    <w:rsid w:val="2C231B78"/>
    <w:rsid w:val="2CCE2904"/>
    <w:rsid w:val="2D450AC7"/>
    <w:rsid w:val="30427786"/>
    <w:rsid w:val="3299492B"/>
    <w:rsid w:val="3402116D"/>
    <w:rsid w:val="34983880"/>
    <w:rsid w:val="35E328D9"/>
    <w:rsid w:val="362C0724"/>
    <w:rsid w:val="36671A60"/>
    <w:rsid w:val="372B35A8"/>
    <w:rsid w:val="3A5208F4"/>
    <w:rsid w:val="3CFD3CC3"/>
    <w:rsid w:val="3E1A4235"/>
    <w:rsid w:val="3FA876B6"/>
    <w:rsid w:val="4004001B"/>
    <w:rsid w:val="41083B3B"/>
    <w:rsid w:val="41A01FC6"/>
    <w:rsid w:val="41E2033D"/>
    <w:rsid w:val="44D73F50"/>
    <w:rsid w:val="4729480B"/>
    <w:rsid w:val="48E56510"/>
    <w:rsid w:val="48F52BF7"/>
    <w:rsid w:val="4C7454FA"/>
    <w:rsid w:val="4D9E077A"/>
    <w:rsid w:val="4E241061"/>
    <w:rsid w:val="4ED32F5A"/>
    <w:rsid w:val="51464B7A"/>
    <w:rsid w:val="525C3819"/>
    <w:rsid w:val="52DD0831"/>
    <w:rsid w:val="535E75EB"/>
    <w:rsid w:val="540B32CF"/>
    <w:rsid w:val="542B0114"/>
    <w:rsid w:val="5449266C"/>
    <w:rsid w:val="54763F15"/>
    <w:rsid w:val="585B70AB"/>
    <w:rsid w:val="58E93DFA"/>
    <w:rsid w:val="5B41707A"/>
    <w:rsid w:val="5CF245B6"/>
    <w:rsid w:val="5E587A58"/>
    <w:rsid w:val="5E683121"/>
    <w:rsid w:val="5EA31546"/>
    <w:rsid w:val="624A76B8"/>
    <w:rsid w:val="644A387D"/>
    <w:rsid w:val="660364FC"/>
    <w:rsid w:val="66157A32"/>
    <w:rsid w:val="66D9784C"/>
    <w:rsid w:val="674A63AC"/>
    <w:rsid w:val="68294213"/>
    <w:rsid w:val="68736231"/>
    <w:rsid w:val="6A4964A7"/>
    <w:rsid w:val="6A723C50"/>
    <w:rsid w:val="6C5C4BB7"/>
    <w:rsid w:val="6CE22826"/>
    <w:rsid w:val="6D78478C"/>
    <w:rsid w:val="6E8C581E"/>
    <w:rsid w:val="6F525DFE"/>
    <w:rsid w:val="6F653D83"/>
    <w:rsid w:val="74B06693"/>
    <w:rsid w:val="76E3713F"/>
    <w:rsid w:val="77F0668A"/>
    <w:rsid w:val="786D197C"/>
    <w:rsid w:val="7B6C0247"/>
    <w:rsid w:val="7FC56178"/>
    <w:rsid w:val="7FDA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semiHidden/>
    <w:unhideWhenUsed/>
    <w:qFormat/>
    <w:uiPriority w:val="99"/>
    <w:pPr>
      <w:jc w:val="left"/>
    </w:p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semiHidden/>
    <w:unhideWhenUsed/>
    <w:qFormat/>
    <w:uiPriority w:val="39"/>
    <w:pPr>
      <w:widowControl/>
      <w:spacing w:after="100" w:line="276" w:lineRule="auto"/>
      <w:ind w:left="220"/>
      <w:jc w:val="left"/>
    </w:pPr>
    <w:rPr>
      <w:kern w:val="0"/>
      <w:sz w:val="22"/>
    </w:rPr>
  </w:style>
  <w:style w:type="paragraph" w:styleId="12">
    <w:name w:val="annotation subject"/>
    <w:basedOn w:val="4"/>
    <w:next w:val="4"/>
    <w:link w:val="31"/>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DB5353"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批注框文本 字符"/>
    <w:basedOn w:val="15"/>
    <w:link w:val="7"/>
    <w:semiHidden/>
    <w:qFormat/>
    <w:uiPriority w:val="99"/>
    <w:rPr>
      <w:sz w:val="18"/>
      <w:szCs w:val="18"/>
    </w:rPr>
  </w:style>
  <w:style w:type="character" w:customStyle="1" w:styleId="23">
    <w:name w:val="标题 1 字符"/>
    <w:basedOn w:val="15"/>
    <w:link w:val="2"/>
    <w:qFormat/>
    <w:uiPriority w:val="9"/>
    <w:rPr>
      <w:b/>
      <w:bCs/>
      <w:kern w:val="44"/>
      <w:sz w:val="44"/>
      <w:szCs w:val="44"/>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527E56" w:themeColor="accent1" w:themeShade="BF"/>
      <w:kern w:val="0"/>
      <w:sz w:val="28"/>
      <w:szCs w:val="28"/>
    </w:rPr>
  </w:style>
  <w:style w:type="character" w:customStyle="1" w:styleId="25">
    <w:name w:val="标题 2 字符"/>
    <w:basedOn w:val="15"/>
    <w:link w:val="3"/>
    <w:qFormat/>
    <w:uiPriority w:val="9"/>
    <w:rPr>
      <w:rFonts w:asciiTheme="majorHAnsi" w:hAnsiTheme="majorHAnsi" w:eastAsiaTheme="majorEastAsia" w:cstheme="majorBidi"/>
      <w:b/>
      <w:bCs/>
      <w:sz w:val="32"/>
      <w:szCs w:val="32"/>
    </w:rPr>
  </w:style>
  <w:style w:type="character" w:customStyle="1" w:styleId="26">
    <w:name w:val="日期 字符"/>
    <w:basedOn w:val="15"/>
    <w:link w:val="6"/>
    <w:semiHidden/>
    <w:qFormat/>
    <w:uiPriority w:val="99"/>
  </w:style>
  <w:style w:type="paragraph" w:customStyle="1" w:styleId="2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table" w:customStyle="1" w:styleId="28">
    <w:name w:val="网格型1"/>
    <w:basedOn w:val="1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30">
    <w:name w:val="批注文字 字符"/>
    <w:basedOn w:val="15"/>
    <w:link w:val="4"/>
    <w:semiHidden/>
    <w:qFormat/>
    <w:uiPriority w:val="99"/>
    <w:rPr>
      <w:rFonts w:asciiTheme="minorHAnsi" w:hAnsiTheme="minorHAnsi" w:eastAsiaTheme="minorEastAsia" w:cstheme="minorBidi"/>
      <w:kern w:val="2"/>
      <w:sz w:val="21"/>
      <w:szCs w:val="22"/>
    </w:rPr>
  </w:style>
  <w:style w:type="character" w:customStyle="1" w:styleId="31">
    <w:name w:val="批注主题 字符"/>
    <w:basedOn w:val="30"/>
    <w:link w:val="12"/>
    <w:semiHidden/>
    <w:qFormat/>
    <w:uiPriority w:val="99"/>
    <w:rPr>
      <w:rFonts w:asciiTheme="minorHAnsi" w:hAnsiTheme="minorHAnsi" w:eastAsiaTheme="minorEastAsia" w:cstheme="minorBidi"/>
      <w:b/>
      <w:bCs/>
      <w:kern w:val="2"/>
      <w:sz w:val="21"/>
      <w:szCs w:val="22"/>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customShpInfo spid="_x0000_s3073"/>
    <customShpInfo spid="_x0000_s3078"/>
    <customShpInfo spid="_x0000_s307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2D39A-969B-4CEB-995E-F88898E0096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746</Words>
  <Characters>4254</Characters>
  <Lines>35</Lines>
  <Paragraphs>9</Paragraphs>
  <TotalTime>0</TotalTime>
  <ScaleCrop>false</ScaleCrop>
  <LinksUpToDate>false</LinksUpToDate>
  <CharactersWithSpaces>4991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2023-06-20T08:19:00Z</dcterms:created>
  <dc:creator>2</dc:creator>
  <cp:lastModifiedBy>XU Ying</cp:lastModifiedBy>
  <cp:lastPrinted>2023-12-28T00:46:00Z</cp:lastPrinted>
  <dcterms:modified xsi:type="dcterms:W3CDTF">2023-12-28T06:32:02Z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CF8F8738465E431496A6B2C619CD6550_13</vt:lpwstr>
  </property>
</Properties>
</file>