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黑体" w:hAnsi="黑体" w:eastAsia="黑体" w:cs="黑体"/>
          <w:sz w:val="44"/>
          <w:szCs w:val="24"/>
          <w:lang w:val="en-US" w:eastAsia="zh-CN"/>
        </w:rPr>
      </w:pPr>
      <w:r>
        <w:rPr>
          <w:rFonts w:hint="eastAsia" w:ascii="黑体" w:hAnsi="黑体" w:eastAsia="黑体" w:cs="黑体"/>
          <w:sz w:val="44"/>
          <w:szCs w:val="24"/>
          <w:lang w:val="en-US" w:eastAsia="zh-CN"/>
        </w:rPr>
        <w:t>关于专业评估学院互查阶段的工作提示</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各学院（部）：</w:t>
      </w:r>
    </w:p>
    <w:p>
      <w:pPr>
        <w:spacing w:line="360" w:lineRule="auto"/>
        <w:ind w:left="0" w:leftChars="0" w:firstLine="420" w:firstLineChars="17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按专业评估通知要求，学院应在2024年3月15日前自主组织完成学院互查。现将学院互查相关工作安排提示如下：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562" w:firstLineChars="175"/>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检查小组的构成</w:t>
      </w:r>
    </w:p>
    <w:p>
      <w:pPr>
        <w:numPr>
          <w:ilvl w:val="0"/>
          <w:numId w:val="0"/>
        </w:numPr>
        <w:spacing w:line="360" w:lineRule="auto"/>
        <w:ind w:left="0" w:leftChars="0" w:firstLine="420" w:firstLineChars="175"/>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建议参照专家组的构成，由教学院长担任检查组长，教研室主任、系主任、骨干教师为检查组成员，按照“（2×专业数）+1”的方式组建检查小组，保证对支撑材料、教学档案、专业评估自评表三项内容分别有2~3人同时负责检查。</w:t>
      </w:r>
    </w:p>
    <w:p>
      <w:pPr>
        <w:numPr>
          <w:ilvl w:val="0"/>
          <w:numId w:val="0"/>
        </w:numPr>
        <w:spacing w:line="360" w:lineRule="auto"/>
        <w:ind w:left="0" w:leftChars="0" w:firstLine="420" w:firstLineChars="175"/>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学院互查为多对一模式的，也应按照以上方式组建成1个检查小组。</w:t>
      </w:r>
    </w:p>
    <w:p>
      <w:pPr>
        <w:numPr>
          <w:ilvl w:val="0"/>
          <w:numId w:val="0"/>
        </w:numPr>
        <w:spacing w:line="360" w:lineRule="auto"/>
        <w:ind w:left="0" w:leftChars="0" w:firstLine="420" w:firstLineChars="175"/>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校督导也是检查小组成员，由教务处负责另行安排。</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562" w:firstLineChars="175"/>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互查重点</w:t>
      </w:r>
    </w:p>
    <w:p>
      <w:pPr>
        <w:numPr>
          <w:ilvl w:val="0"/>
          <w:numId w:val="0"/>
        </w:numPr>
        <w:spacing w:line="360" w:lineRule="auto"/>
        <w:ind w:left="0" w:leftChars="0" w:firstLine="492" w:firstLineChars="175"/>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支撑材料检查重点</w:t>
      </w:r>
      <w:r>
        <w:rPr>
          <w:rFonts w:hint="eastAsia" w:ascii="宋体" w:hAnsi="宋体" w:eastAsia="宋体" w:cs="宋体"/>
          <w:sz w:val="28"/>
          <w:szCs w:val="28"/>
          <w:lang w:val="en-US" w:eastAsia="zh-CN"/>
        </w:rPr>
        <w:t>：</w:t>
      </w:r>
    </w:p>
    <w:p>
      <w:pPr>
        <w:numPr>
          <w:ilvl w:val="0"/>
          <w:numId w:val="2"/>
        </w:numPr>
        <w:spacing w:line="360" w:lineRule="auto"/>
        <w:ind w:left="0" w:leftChars="0" w:firstLine="420" w:firstLineChars="17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参照《上海应用技术大学专业评估支撑材料指导清单》，梳理出一套完整的支撑材料清单；</w:t>
      </w:r>
    </w:p>
    <w:p>
      <w:pPr>
        <w:numPr>
          <w:ilvl w:val="0"/>
          <w:numId w:val="2"/>
        </w:numPr>
        <w:spacing w:line="360" w:lineRule="auto"/>
        <w:ind w:left="0" w:leftChars="0" w:firstLine="420" w:firstLineChars="17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档案盒标签清晰且与清单对应，盒内材料的归类和存放合理且清晰易查阅；</w:t>
      </w:r>
    </w:p>
    <w:p>
      <w:pPr>
        <w:numPr>
          <w:ilvl w:val="0"/>
          <w:numId w:val="2"/>
        </w:numPr>
        <w:spacing w:line="360" w:lineRule="auto"/>
        <w:ind w:left="0" w:leftChars="0" w:firstLine="420" w:firstLineChars="17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支撑材料的时限符合要求（近3年，即2021、2022、2023年）。</w:t>
      </w:r>
    </w:p>
    <w:p>
      <w:pPr>
        <w:numPr>
          <w:ilvl w:val="0"/>
          <w:numId w:val="0"/>
        </w:numPr>
        <w:spacing w:line="360" w:lineRule="auto"/>
        <w:ind w:left="0" w:leftChars="0" w:firstLine="492" w:firstLineChars="175"/>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教学档案检查重点：</w:t>
      </w:r>
    </w:p>
    <w:p>
      <w:pPr>
        <w:numPr>
          <w:ilvl w:val="0"/>
          <w:numId w:val="3"/>
        </w:numPr>
        <w:spacing w:line="360" w:lineRule="auto"/>
        <w:ind w:left="0" w:leftChars="0" w:firstLine="420" w:firstLineChars="175"/>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能够提供完整的教学档案清单，便于专家抽取、调阅；</w:t>
      </w:r>
    </w:p>
    <w:p>
      <w:pPr>
        <w:numPr>
          <w:ilvl w:val="0"/>
          <w:numId w:val="3"/>
        </w:numPr>
        <w:spacing w:line="360" w:lineRule="auto"/>
        <w:ind w:left="0" w:leftChars="0" w:firstLine="420" w:firstLineChars="175"/>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试卷、实验报告、实习实训报告、毕业设计（论文）的归档材料齐全、命题合理、评阅规范有据、成绩评定公正准确；</w:t>
      </w:r>
    </w:p>
    <w:p>
      <w:pPr>
        <w:numPr>
          <w:ilvl w:val="0"/>
          <w:numId w:val="3"/>
        </w:numPr>
        <w:spacing w:line="360" w:lineRule="auto"/>
        <w:ind w:left="0" w:leftChars="0" w:firstLine="420" w:firstLineChars="175"/>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归档要求、评阅和课程考核分析报告的范式要与提交教务处的课程考核归档范例保持一致。</w:t>
      </w:r>
    </w:p>
    <w:p>
      <w:pPr>
        <w:numPr>
          <w:ilvl w:val="0"/>
          <w:numId w:val="0"/>
        </w:numPr>
        <w:spacing w:line="360" w:lineRule="auto"/>
        <w:ind w:left="0" w:leftChars="0" w:firstLine="420" w:firstLineChars="175"/>
        <w:rPr>
          <w:rFonts w:hint="default" w:ascii="宋体" w:hAnsi="宋体" w:eastAsia="宋体" w:cs="宋体"/>
          <w:b/>
          <w:bCs/>
          <w:sz w:val="24"/>
          <w:szCs w:val="24"/>
          <w:lang w:val="en-US" w:eastAsia="zh-CN"/>
        </w:rPr>
      </w:pPr>
      <w:r>
        <w:rPr>
          <w:rFonts w:hint="eastAsia" w:ascii="宋体" w:hAnsi="宋体" w:eastAsia="宋体" w:cs="宋体"/>
          <w:sz w:val="24"/>
          <w:szCs w:val="24"/>
          <w:lang w:val="en-US" w:eastAsia="zh-CN"/>
        </w:rPr>
        <w:t>建议从专业核心课程中抽取试卷、实验报告、实习实训报告至少各2套，抽取毕业设计（论文）5~10本。</w:t>
      </w:r>
    </w:p>
    <w:p>
      <w:pPr>
        <w:numPr>
          <w:ilvl w:val="0"/>
          <w:numId w:val="0"/>
        </w:numPr>
        <w:spacing w:line="360" w:lineRule="auto"/>
        <w:ind w:left="0" w:leftChars="0" w:firstLine="420" w:firstLineChars="17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除了对专业自评表、支撑材料和教学档案的准备情况开展检查外，学院之间可以就专家进校考察的相关工作安排开展交流研讨。</w:t>
      </w:r>
    </w:p>
    <w:p>
      <w:pPr>
        <w:numPr>
          <w:ilvl w:val="0"/>
          <w:numId w:val="0"/>
        </w:numPr>
        <w:spacing w:line="360" w:lineRule="auto"/>
        <w:ind w:left="0" w:leftChars="0" w:firstLine="492" w:firstLineChars="175"/>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专业自评表检查重点：</w:t>
      </w:r>
    </w:p>
    <w:p>
      <w:pPr>
        <w:numPr>
          <w:ilvl w:val="0"/>
          <w:numId w:val="4"/>
        </w:numPr>
        <w:spacing w:line="360" w:lineRule="auto"/>
        <w:ind w:left="0" w:leftChars="0" w:firstLine="420" w:firstLineChars="175"/>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格式规范：按指标点括号内容设置小标题，且不超过规定字数。</w:t>
      </w:r>
    </w:p>
    <w:p>
      <w:pPr>
        <w:numPr>
          <w:ilvl w:val="0"/>
          <w:numId w:val="4"/>
        </w:numPr>
        <w:spacing w:line="360" w:lineRule="auto"/>
        <w:ind w:left="0" w:leftChars="0" w:firstLine="420" w:firstLineChars="175"/>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内容要求：覆盖所有指标点，并严格按照指标点的小标题组织文本内容，以“思路（理念）——举措——成效”的结构围绕指标点具体展开。</w:t>
      </w:r>
    </w:p>
    <w:p>
      <w:pPr>
        <w:numPr>
          <w:ilvl w:val="0"/>
          <w:numId w:val="4"/>
        </w:numPr>
        <w:spacing w:line="360" w:lineRule="auto"/>
        <w:ind w:left="0" w:leftChars="0" w:firstLine="420" w:firstLineChars="175"/>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内涵要求：以办学方向、专业定位与规划为出发点，凝练专业办学特色优势，并一以贯之的体现在后续的培养方案、课程体系、师资队伍、教学过程等指标中，形成对特色优势的支撑。</w:t>
      </w:r>
    </w:p>
    <w:p>
      <w:pPr>
        <w:numPr>
          <w:ilvl w:val="0"/>
          <w:numId w:val="4"/>
        </w:numPr>
        <w:spacing w:line="360" w:lineRule="auto"/>
        <w:ind w:left="0" w:leftChars="0" w:firstLine="420" w:firstLineChars="175"/>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学院审核意见：对于一级标题I-V的内容中所暴露的短板和不足，要形成写实性问题，并分析原因，提出具体改进措施。</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562" w:firstLineChars="175"/>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互查简况表</w:t>
      </w:r>
    </w:p>
    <w:p>
      <w:pPr>
        <w:numPr>
          <w:ilvl w:val="0"/>
          <w:numId w:val="0"/>
        </w:numPr>
        <w:spacing w:line="360" w:lineRule="auto"/>
        <w:ind w:left="0" w:leftChars="0" w:firstLine="420" w:firstLineChars="17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每个被检查的学院，形成检查结论后，提交1份《学院互查简况表》至教务处备案。</w:t>
      </w:r>
    </w:p>
    <w:p>
      <w:pPr>
        <w:numPr>
          <w:ilvl w:val="0"/>
          <w:numId w:val="0"/>
        </w:numPr>
        <w:spacing w:line="360" w:lineRule="auto"/>
        <w:ind w:left="0" w:leftChars="0" w:firstLine="420" w:firstLineChars="175"/>
        <w:rPr>
          <w:rFonts w:hint="eastAsia" w:ascii="宋体" w:hAnsi="宋体" w:eastAsia="宋体" w:cs="宋体"/>
          <w:sz w:val="24"/>
          <w:szCs w:val="24"/>
          <w:lang w:val="en-US" w:eastAsia="zh-CN"/>
        </w:rPr>
      </w:pPr>
    </w:p>
    <w:p>
      <w:pPr>
        <w:numPr>
          <w:ilvl w:val="0"/>
          <w:numId w:val="0"/>
        </w:numPr>
        <w:spacing w:line="360" w:lineRule="auto"/>
        <w:ind w:left="0" w:leftChars="0" w:firstLine="420" w:firstLineChars="175"/>
        <w:rPr>
          <w:rFonts w:hint="eastAsia" w:ascii="宋体" w:hAnsi="宋体" w:eastAsia="宋体" w:cs="宋体"/>
          <w:sz w:val="24"/>
          <w:szCs w:val="24"/>
          <w:lang w:val="en-US" w:eastAsia="zh-CN"/>
        </w:rPr>
      </w:pPr>
    </w:p>
    <w:p>
      <w:pPr>
        <w:numPr>
          <w:ilvl w:val="0"/>
          <w:numId w:val="0"/>
        </w:numPr>
        <w:spacing w:line="360" w:lineRule="auto"/>
        <w:ind w:left="0" w:leftChars="0" w:firstLine="420" w:firstLineChars="175"/>
        <w:rPr>
          <w:rFonts w:hint="eastAsia" w:ascii="宋体" w:hAnsi="宋体" w:eastAsia="宋体" w:cs="宋体"/>
          <w:sz w:val="24"/>
          <w:szCs w:val="24"/>
          <w:lang w:val="en-US" w:eastAsia="zh-CN"/>
        </w:rPr>
      </w:pPr>
    </w:p>
    <w:p>
      <w:pPr>
        <w:numPr>
          <w:ilvl w:val="0"/>
          <w:numId w:val="0"/>
        </w:numPr>
        <w:spacing w:line="360" w:lineRule="auto"/>
        <w:ind w:left="0" w:leftChars="0" w:firstLine="420" w:firstLineChars="17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教务处</w:t>
      </w:r>
    </w:p>
    <w:p>
      <w:pPr>
        <w:numPr>
          <w:ilvl w:val="0"/>
          <w:numId w:val="0"/>
        </w:numPr>
        <w:spacing w:line="360" w:lineRule="auto"/>
        <w:ind w:left="0" w:leftChars="0" w:firstLine="420" w:firstLineChars="175"/>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教学质量监控办公室</w:t>
      </w:r>
    </w:p>
    <w:p>
      <w:pPr>
        <w:numPr>
          <w:ilvl w:val="0"/>
          <w:numId w:val="0"/>
        </w:numPr>
        <w:spacing w:line="360" w:lineRule="auto"/>
        <w:ind w:left="0" w:leftChars="0" w:firstLine="420" w:firstLineChars="175"/>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2024年1月17日</w:t>
      </w:r>
    </w:p>
    <w:p>
      <w:pPr>
        <w:numPr>
          <w:ilvl w:val="0"/>
          <w:numId w:val="0"/>
        </w:numPr>
        <w:spacing w:line="360" w:lineRule="auto"/>
        <w:ind w:leftChars="175"/>
        <w:rPr>
          <w:rFonts w:hint="eastAsia" w:ascii="仿宋" w:hAnsi="仿宋" w:eastAsia="仿宋" w:cs="仿宋"/>
          <w:sz w:val="28"/>
          <w:szCs w:val="28"/>
          <w:lang w:val="en-US" w:eastAsia="zh-CN"/>
        </w:rPr>
      </w:pPr>
    </w:p>
    <w:p>
      <w:pPr>
        <w:numPr>
          <w:ilvl w:val="0"/>
          <w:numId w:val="0"/>
        </w:numPr>
        <w:spacing w:line="360" w:lineRule="auto"/>
        <w:ind w:leftChars="175"/>
        <w:rPr>
          <w:rFonts w:hint="default" w:ascii="宋体" w:hAnsi="宋体" w:eastAsia="宋体" w:cs="宋体"/>
          <w:sz w:val="24"/>
          <w:szCs w:val="24"/>
          <w:lang w:val="en-US" w:eastAsia="zh-CN"/>
        </w:rPr>
      </w:pPr>
    </w:p>
    <w:p>
      <w:pPr>
        <w:spacing w:line="360" w:lineRule="auto"/>
        <w:ind w:left="0" w:leftChars="0" w:firstLine="420" w:firstLineChars="175"/>
        <w:rPr>
          <w:rFonts w:hint="default" w:ascii="宋体" w:hAnsi="宋体" w:eastAsia="宋体" w:cs="宋体"/>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37607"/>
    <w:multiLevelType w:val="singleLevel"/>
    <w:tmpl w:val="86137607"/>
    <w:lvl w:ilvl="0" w:tentative="0">
      <w:start w:val="1"/>
      <w:numFmt w:val="decimal"/>
      <w:suff w:val="space"/>
      <w:lvlText w:val="%1."/>
      <w:lvlJc w:val="left"/>
    </w:lvl>
  </w:abstractNum>
  <w:abstractNum w:abstractNumId="1">
    <w:nsid w:val="0C67BE12"/>
    <w:multiLevelType w:val="singleLevel"/>
    <w:tmpl w:val="0C67BE12"/>
    <w:lvl w:ilvl="0" w:tentative="0">
      <w:start w:val="1"/>
      <w:numFmt w:val="chineseCounting"/>
      <w:suff w:val="space"/>
      <w:lvlText w:val="%1、"/>
      <w:lvlJc w:val="left"/>
      <w:rPr>
        <w:rFonts w:hint="eastAsia"/>
      </w:rPr>
    </w:lvl>
  </w:abstractNum>
  <w:abstractNum w:abstractNumId="2">
    <w:nsid w:val="33B2143F"/>
    <w:multiLevelType w:val="singleLevel"/>
    <w:tmpl w:val="33B2143F"/>
    <w:lvl w:ilvl="0" w:tentative="0">
      <w:start w:val="1"/>
      <w:numFmt w:val="decimal"/>
      <w:suff w:val="space"/>
      <w:lvlText w:val="%1."/>
      <w:lvlJc w:val="left"/>
    </w:lvl>
  </w:abstractNum>
  <w:abstractNum w:abstractNumId="3">
    <w:nsid w:val="3B46EDA9"/>
    <w:multiLevelType w:val="singleLevel"/>
    <w:tmpl w:val="3B46EDA9"/>
    <w:lvl w:ilvl="0" w:tentative="0">
      <w:start w:val="1"/>
      <w:numFmt w:val="decimal"/>
      <w:suff w:val="space"/>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xNGI1MGQ0Y2JjMGY2NzIzNjdhMWFhNjI2YmI0YTAifQ=="/>
  </w:docVars>
  <w:rsids>
    <w:rsidRoot w:val="404A61C5"/>
    <w:rsid w:val="00A42231"/>
    <w:rsid w:val="02CD1F13"/>
    <w:rsid w:val="056B1570"/>
    <w:rsid w:val="05B13426"/>
    <w:rsid w:val="06A92350"/>
    <w:rsid w:val="0B464611"/>
    <w:rsid w:val="0E303356"/>
    <w:rsid w:val="0E981627"/>
    <w:rsid w:val="11BB562D"/>
    <w:rsid w:val="11C52008"/>
    <w:rsid w:val="129B16E6"/>
    <w:rsid w:val="12F9465F"/>
    <w:rsid w:val="14D0319D"/>
    <w:rsid w:val="152B4878"/>
    <w:rsid w:val="157405BF"/>
    <w:rsid w:val="15804BC3"/>
    <w:rsid w:val="165C118C"/>
    <w:rsid w:val="17BE19D3"/>
    <w:rsid w:val="1ABD5F72"/>
    <w:rsid w:val="1B34092A"/>
    <w:rsid w:val="1B3A1E5A"/>
    <w:rsid w:val="1BFB4FA4"/>
    <w:rsid w:val="210C6320"/>
    <w:rsid w:val="218E6EC9"/>
    <w:rsid w:val="21B46321"/>
    <w:rsid w:val="231D1CA3"/>
    <w:rsid w:val="251B0465"/>
    <w:rsid w:val="255D1519"/>
    <w:rsid w:val="28F60FCD"/>
    <w:rsid w:val="29A529F3"/>
    <w:rsid w:val="2A554419"/>
    <w:rsid w:val="2C792640"/>
    <w:rsid w:val="2F320885"/>
    <w:rsid w:val="2FDD4C94"/>
    <w:rsid w:val="317A6513"/>
    <w:rsid w:val="331A5F4A"/>
    <w:rsid w:val="33A37FA3"/>
    <w:rsid w:val="349A7B35"/>
    <w:rsid w:val="35074561"/>
    <w:rsid w:val="352E2B79"/>
    <w:rsid w:val="36435A6D"/>
    <w:rsid w:val="381256F7"/>
    <w:rsid w:val="38451629"/>
    <w:rsid w:val="395D62E6"/>
    <w:rsid w:val="404A61C5"/>
    <w:rsid w:val="42D9753D"/>
    <w:rsid w:val="43486471"/>
    <w:rsid w:val="43747266"/>
    <w:rsid w:val="46EE736E"/>
    <w:rsid w:val="4977185E"/>
    <w:rsid w:val="4A0B01F8"/>
    <w:rsid w:val="4AE20F59"/>
    <w:rsid w:val="4B8F5596"/>
    <w:rsid w:val="4C87000A"/>
    <w:rsid w:val="4D3F2693"/>
    <w:rsid w:val="50153B7F"/>
    <w:rsid w:val="517F39A6"/>
    <w:rsid w:val="53206AC2"/>
    <w:rsid w:val="556A671B"/>
    <w:rsid w:val="586D7E41"/>
    <w:rsid w:val="5A184997"/>
    <w:rsid w:val="5EE27322"/>
    <w:rsid w:val="61016185"/>
    <w:rsid w:val="638A735E"/>
    <w:rsid w:val="64AC465A"/>
    <w:rsid w:val="68295FC1"/>
    <w:rsid w:val="68FE11FC"/>
    <w:rsid w:val="69B63885"/>
    <w:rsid w:val="6AE368FC"/>
    <w:rsid w:val="6AEA1A38"/>
    <w:rsid w:val="6E927A16"/>
    <w:rsid w:val="6FEC0000"/>
    <w:rsid w:val="72404633"/>
    <w:rsid w:val="749B262E"/>
    <w:rsid w:val="75B74C0D"/>
    <w:rsid w:val="768947FB"/>
    <w:rsid w:val="77E65C7D"/>
    <w:rsid w:val="79A47B9E"/>
    <w:rsid w:val="7A17211E"/>
    <w:rsid w:val="7BFC4E0B"/>
    <w:rsid w:val="7CFB1883"/>
    <w:rsid w:val="7D6F7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2024-01-16T02:51:00Z</dcterms:created>
  <dc:creator>XU Ying</dc:creator>
  <cp:lastModifiedBy>XU Ying</cp:lastModifiedBy>
  <dcterms:modified xsi:type="dcterms:W3CDTF">2024-03-04T04:09:22Z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E9A46312B96D4BAEB474E38BEC96FB01_13</vt:lpwstr>
  </property>
</Properties>
</file>